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F32360">
        <w:rPr>
          <w:rFonts w:ascii="Verdana" w:hAnsi="Verdana" w:cs="TTE22673B0t00"/>
          <w:sz w:val="20"/>
          <w:szCs w:val="20"/>
        </w:rPr>
        <w:t>Okto</w:t>
      </w:r>
      <w:r w:rsidR="005F0E9D">
        <w:rPr>
          <w:rFonts w:ascii="Verdana" w:hAnsi="Verdana" w:cs="TTE22673B0t00"/>
          <w:sz w:val="20"/>
          <w:szCs w:val="20"/>
        </w:rPr>
        <w:t>ber</w:t>
      </w:r>
      <w:r w:rsidR="00D06145">
        <w:rPr>
          <w:rFonts w:ascii="Verdana" w:hAnsi="Verdana" w:cs="TTE22673B0t00"/>
          <w:sz w:val="20"/>
          <w:szCs w:val="20"/>
        </w:rPr>
        <w:t xml:space="preserve"> 2</w:t>
      </w:r>
      <w:r w:rsidR="00E9411E">
        <w:rPr>
          <w:rFonts w:ascii="Verdana" w:hAnsi="Verdana" w:cs="TTE22673B0t00"/>
          <w:sz w:val="20"/>
          <w:szCs w:val="20"/>
        </w:rPr>
        <w:t>01</w:t>
      </w:r>
      <w:r w:rsidR="00A87E6B">
        <w:rPr>
          <w:rFonts w:ascii="Verdana" w:hAnsi="Verdana" w:cs="TTE22673B0t00"/>
          <w:sz w:val="20"/>
          <w:szCs w:val="20"/>
        </w:rPr>
        <w:t>7</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645141" w:rsidRPr="00DC3118" w:rsidRDefault="00645141" w:rsidP="00DC3118">
      <w:pPr>
        <w:autoSpaceDE w:val="0"/>
        <w:autoSpaceDN w:val="0"/>
        <w:adjustRightInd w:val="0"/>
        <w:ind w:left="2124" w:hanging="2124"/>
        <w:rPr>
          <w:b/>
          <w:szCs w:val="20"/>
        </w:rPr>
      </w:pPr>
      <w:r w:rsidRPr="00DC3118">
        <w:rPr>
          <w:b/>
          <w:szCs w:val="20"/>
        </w:rPr>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0924EE">
          <w:rPr>
            <w:webHidden/>
          </w:rPr>
          <w:t>3</w:t>
        </w:r>
        <w:r w:rsidR="00845C99">
          <w:rPr>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88" w:history="1">
        <w:r w:rsidR="00845C99" w:rsidRPr="002C60B6">
          <w:rPr>
            <w:rStyle w:val="Hyperlink"/>
            <w:noProof/>
          </w:rPr>
          <w:t>1.3</w:t>
        </w:r>
        <w:r w:rsidR="00845C99">
          <w:rPr>
            <w:rFonts w:asciiTheme="minorHAnsi" w:eastAsiaTheme="minorEastAsia" w:hAnsiTheme="minorHAnsi" w:cstheme="minorBidi"/>
            <w:noProof/>
          </w:rPr>
          <w:tab/>
        </w:r>
        <w:r w:rsidR="00845C99" w:rsidRPr="002C60B6">
          <w:rPr>
            <w:rStyle w:val="Hyperlink"/>
            <w:noProof/>
          </w:rPr>
          <w:t>Uitputting bekostiging zware ondersteuning</w:t>
        </w:r>
        <w:r w:rsidR="00845C99">
          <w:rPr>
            <w:noProof/>
            <w:webHidden/>
          </w:rPr>
          <w:tab/>
        </w:r>
        <w:r w:rsidR="00845C99">
          <w:rPr>
            <w:noProof/>
            <w:webHidden/>
          </w:rPr>
          <w:fldChar w:fldCharType="begin"/>
        </w:r>
        <w:r w:rsidR="00845C99">
          <w:rPr>
            <w:noProof/>
            <w:webHidden/>
          </w:rPr>
          <w:instrText xml:space="preserve"> PAGEREF _Toc400809288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89" w:history="1">
        <w:r w:rsidR="00845C99" w:rsidRPr="002C60B6">
          <w:rPr>
            <w:rStyle w:val="Hyperlink"/>
            <w:noProof/>
          </w:rPr>
          <w:t>1.4</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845C99">
          <w:rPr>
            <w:noProof/>
            <w:webHidden/>
          </w:rPr>
          <w:fldChar w:fldCharType="begin"/>
        </w:r>
        <w:r w:rsidR="00845C99">
          <w:rPr>
            <w:noProof/>
            <w:webHidden/>
          </w:rPr>
          <w:instrText xml:space="preserve"> PAGEREF _Toc400809289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845C99" w:rsidP="00A81A7D">
      <w:pPr>
        <w:pStyle w:val="Inhopg1"/>
        <w:rPr>
          <w:rStyle w:val="Hyperlink"/>
        </w:rPr>
      </w:pPr>
    </w:p>
    <w:p w:rsidR="00845C99" w:rsidRDefault="006240E9"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D71B4A">
        <w:t>Zware ondersteuning</w:t>
      </w:r>
      <w:r w:rsidR="00D71B4A">
        <w:tab/>
        <w:t>10</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D71B4A" w:rsidRPr="00D71B4A">
        <w:rPr>
          <w:rFonts w:eastAsiaTheme="minorEastAsia"/>
          <w:noProof/>
        </w:rPr>
        <w:t>Bekostiging</w:t>
      </w:r>
      <w:r w:rsidR="00D71B4A" w:rsidRPr="00D71B4A">
        <w:rPr>
          <w:rFonts w:eastAsiaTheme="minorEastAsia"/>
          <w:noProof/>
        </w:rPr>
        <w:tab/>
        <w:t>10</w:t>
      </w:r>
    </w:p>
    <w:p w:rsidR="00845C99" w:rsidRPr="00D71B4A" w:rsidRDefault="00D71B4A">
      <w:pPr>
        <w:pStyle w:val="Inhopg2"/>
        <w:tabs>
          <w:tab w:val="left" w:pos="880"/>
          <w:tab w:val="right" w:leader="dot" w:pos="9063"/>
        </w:tabs>
        <w:rPr>
          <w:rFonts w:eastAsiaTheme="minorEastAsia"/>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845C99" w:rsidRPr="00D71B4A">
        <w:rPr>
          <w:noProof/>
          <w:webHidden/>
        </w:rPr>
        <w:fldChar w:fldCharType="begin"/>
      </w:r>
      <w:r w:rsidR="00845C99" w:rsidRPr="00D71B4A">
        <w:rPr>
          <w:noProof/>
          <w:webHidden/>
        </w:rPr>
        <w:instrText xml:space="preserve"> PAGEREF _Toc400809293 \h </w:instrText>
      </w:r>
      <w:r w:rsidR="00845C99" w:rsidRPr="00D71B4A">
        <w:rPr>
          <w:noProof/>
          <w:webHidden/>
        </w:rPr>
      </w:r>
      <w:r w:rsidR="00845C99" w:rsidRPr="00D71B4A">
        <w:rPr>
          <w:noProof/>
          <w:webHidden/>
        </w:rPr>
        <w:fldChar w:fldCharType="separate"/>
      </w:r>
      <w:r w:rsidR="000924EE">
        <w:rPr>
          <w:noProof/>
          <w:webHidden/>
        </w:rPr>
        <w:t>3</w:t>
      </w:r>
      <w:r w:rsidR="00845C99" w:rsidRPr="00D71B4A">
        <w:rPr>
          <w:noProof/>
          <w:webHidden/>
        </w:rPr>
        <w:fldChar w:fldCharType="end"/>
      </w:r>
      <w:r w:rsidR="009042D9" w:rsidRPr="00D71B4A">
        <w:rPr>
          <w:noProof/>
        </w:rPr>
        <w:fldChar w:fldCharType="end"/>
      </w:r>
    </w:p>
    <w:p w:rsidR="00845C99" w:rsidRDefault="00845C99" w:rsidP="00A81A7D">
      <w:pPr>
        <w:pStyle w:val="Inhopg1"/>
        <w:rPr>
          <w:rStyle w:val="Hyperlink"/>
        </w:rPr>
      </w:pPr>
    </w:p>
    <w:p w:rsidR="00845C99" w:rsidRDefault="006240E9"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0924EE">
          <w:rPr>
            <w:webHidden/>
          </w:rPr>
          <w:t>3</w:t>
        </w:r>
        <w:r w:rsidR="00845C99">
          <w:rPr>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6240E9">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0924EE">
          <w:rPr>
            <w:noProof/>
            <w:webHidden/>
          </w:rPr>
          <w:t>3</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16-17</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0924EE">
        <w:rPr>
          <w:b w:val="0"/>
          <w:webHidden/>
        </w:rPr>
        <w:t>3</w:t>
      </w:r>
      <w:r w:rsidR="00845C99" w:rsidRPr="00A81A7D">
        <w:rPr>
          <w:b w:val="0"/>
          <w:webHidden/>
        </w:rPr>
        <w:fldChar w:fldCharType="end"/>
      </w:r>
      <w:r w:rsidR="00035EAE" w:rsidRPr="00A81A7D">
        <w:fldChar w:fldCharType="end"/>
      </w:r>
    </w:p>
    <w:p w:rsidR="001F6A1D" w:rsidRPr="001F6A1D" w:rsidRDefault="001F6A1D" w:rsidP="001F6A1D">
      <w:r>
        <w:t>Bijlage IB Bedragen bekostiging (V)SO 17-18…………………………………………………   19</w:t>
      </w:r>
    </w:p>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8918D9" w:rsidP="007B684A">
      <w:r>
        <w:t xml:space="preserve">In verband met </w:t>
      </w:r>
      <w:r w:rsidR="003A5ABF">
        <w:t xml:space="preserve">toename van het aantal leerlingen na de teldatum 1 oktober T-1 </w:t>
      </w:r>
      <w:r w:rsidR="00F86A43">
        <w:t>waren</w:t>
      </w:r>
      <w:r w:rsidR="003A5ABF">
        <w:t xml:space="preserve"> </w:t>
      </w:r>
      <w:r>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op basis waarvan het samenwerkingsverband - nog steeds op grond van de T-1-systematiek -</w:t>
      </w:r>
      <w:r w:rsidR="008918D9">
        <w:t xml:space="preserve"> </w:t>
      </w:r>
      <w:r>
        <w:t>zorgt voor aanvullende bekostiging 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 xml:space="preserve">1 okt. T-1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 xml:space="preserve">Hierna wordt eerst de structurele situatie van de bekostiging geschetst, daarna wordt in </w:t>
      </w:r>
      <w:r w:rsidR="000A7672" w:rsidRPr="00BA5AEE">
        <w:t xml:space="preserve">de volgende paragraaf </w:t>
      </w:r>
      <w:r w:rsidRPr="00BA5AEE">
        <w:t xml:space="preserve">apart stilgestaan bij de bekostiging gedurende de invoerings- en overgangsperiode.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overeen met de kosten van een reguliere leerling op een basisschool.</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LZs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in welke categorie de betreffende leerling is geplaatst. Ook hierbij geldt 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dat samenwerkingsverband. De gegevens ontleent DUO aan de gegevens zoals die in het BasisRegister ONderwijs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30 maart,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7120A5">
        <w:t xml:space="preserve">In het vaste bedrag per leerling is opgenomen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p>
    <w:p w:rsidR="00CC2EC0" w:rsidRPr="00BA5AEE" w:rsidRDefault="00A4764A" w:rsidP="00CC2EC0">
      <w:r>
        <w:t>.</w:t>
      </w:r>
      <w:r w:rsidR="00B47A3C" w:rsidRPr="00B47A3C">
        <w:rPr>
          <w:color w:val="000000"/>
          <w:sz w:val="20"/>
          <w:szCs w:val="20"/>
        </w:rPr>
        <w:t xml:space="preserve"> </w:t>
      </w:r>
    </w:p>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is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Pr="00BA5AEE">
        <w:t xml:space="preserve">Ook worden de </w:t>
      </w:r>
      <w:r w:rsidRPr="00BA5AEE">
        <w:rPr>
          <w:u w:val="single"/>
        </w:rPr>
        <w:t>vaste bedragen per school</w:t>
      </w:r>
      <w:r w:rsidRPr="00BA5AEE">
        <w:t xml:space="preserve"> en de </w:t>
      </w:r>
      <w:r w:rsidRPr="00BA5AEE">
        <w:rPr>
          <w:u w:val="single"/>
        </w:rPr>
        <w:t>vaste bedragen voor SO resp. VSO</w:t>
      </w:r>
      <w:r w:rsidRPr="00BA5AEE">
        <w:t xml:space="preserve"> per schoolsoort 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het budget Prestatiebox,</w:t>
      </w:r>
    </w:p>
    <w:p w:rsidR="00CC2EC0" w:rsidRPr="00BA5AEE" w:rsidRDefault="00CC2EC0" w:rsidP="00CC2EC0">
      <w:pPr>
        <w:numPr>
          <w:ilvl w:val="0"/>
          <w:numId w:val="1"/>
        </w:numPr>
        <w:tabs>
          <w:tab w:val="clear" w:pos="360"/>
          <w:tab w:val="num" w:pos="720"/>
        </w:tabs>
      </w:pPr>
      <w:r w:rsidRPr="00BA5AEE">
        <w:t>de cumi-faciliteiten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is nu</w:t>
      </w:r>
      <w:r w:rsidR="00B47A3C">
        <w:t xml:space="preserve"> 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lastRenderedPageBreak/>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uitvoeren. </w:t>
      </w:r>
    </w:p>
    <w:p w:rsidR="00F066E8" w:rsidRDefault="00F066E8" w:rsidP="00CC2EC0"/>
    <w:p w:rsidR="0059733F" w:rsidRDefault="00CC2EC0" w:rsidP="00CC2EC0">
      <w:r w:rsidRPr="00BA5AEE">
        <w:t xml:space="preserve">Opvallend is dat in de wet de overdracht van de personele basisbekostiging bij het </w:t>
      </w:r>
      <w:r w:rsidR="000A7672" w:rsidRPr="00BA5AEE">
        <w:t>(V)SO</w:t>
      </w:r>
      <w:r w:rsidRPr="00BA5AEE">
        <w:t xml:space="preserve"> niet aan de orde komt in artikel 125b WPO</w:t>
      </w:r>
      <w:r w:rsidR="000C4172" w:rsidRPr="00BA5AEE">
        <w:t xml:space="preserve"> resp. artikel 85d WVO</w:t>
      </w:r>
      <w:r w:rsidRPr="00BA5AEE">
        <w:t xml:space="preserve">. Het lijkt erop alsof die niet betaald zou hoeven te worden. In bovenstaand </w:t>
      </w:r>
      <w:r w:rsidR="00E31161">
        <w:t>schema</w:t>
      </w:r>
      <w:r w:rsidRPr="00BA5AEE">
        <w:t xml:space="preserve"> is die betaling wel opgenomen. Deze overdrachtsverplichting geldt </w:t>
      </w:r>
      <w:r w:rsidR="00460AD0" w:rsidRPr="00BA5AEE">
        <w:t xml:space="preserve">in het PO </w:t>
      </w:r>
      <w:r w:rsidRPr="00BA5AEE">
        <w:t xml:space="preserve">wel bij de bekostiging van het SBO en het lijkt onwaarschijnlijk dat het de bedoeling is dit achterwege te laten bij het </w:t>
      </w:r>
      <w:r w:rsidR="000A7672" w:rsidRPr="00BA5AEE">
        <w:t>(V)SO</w:t>
      </w:r>
      <w:r w:rsidRPr="00BA5AEE">
        <w:t xml:space="preserve">. </w:t>
      </w:r>
      <w:r w:rsidR="00844A1F">
        <w:t>Inmiddels is een wetsvoorstel naar de Tweede Kamer gestuurd (TK 34732, 31 mei 2017) waarin de overdracht van ook de basisbekostiging wordt vastgelegd. In de MvT is opgenomen dat dit geldt voor de personele èn materiële bekostiging maar de uitwerking voor de materiële bekostiging is (nog) niet in de tekst van het wetsvoorstel opgenomen.</w:t>
      </w:r>
      <w:r w:rsidRPr="00BA5AEE">
        <w:t xml:space="preserve"> </w:t>
      </w:r>
      <w:r w:rsidR="00844A1F">
        <w:t xml:space="preserve">Het is nu </w:t>
      </w:r>
      <w:r w:rsidRPr="00BA5AEE">
        <w:t>aan het samenwerkingsverband zelf over</w:t>
      </w:r>
      <w:r w:rsidR="00844A1F">
        <w:t>gelaten</w:t>
      </w:r>
      <w:r w:rsidRPr="00BA5AEE">
        <w:t xml:space="preserve"> die vrij is </w:t>
      </w:r>
      <w:r w:rsidR="00717F90">
        <w:t>d</w:t>
      </w:r>
      <w:r w:rsidRPr="00BA5AEE">
        <w:t xml:space="preserve">e overdracht van de personele basisbekostiging te regelen. Het advies </w:t>
      </w:r>
      <w:r w:rsidR="00844A1F">
        <w:t xml:space="preserve">van de PO-Raad en de VO-raad </w:t>
      </w:r>
      <w:r w:rsidRPr="00BA5AEE">
        <w:t>is om dit te doen</w:t>
      </w:r>
      <w:r w:rsidR="00F066E8">
        <w:t xml:space="preserve">. </w:t>
      </w:r>
    </w:p>
    <w:p w:rsidR="00CC2EC0" w:rsidRPr="00BA5AEE" w:rsidRDefault="00CC2EC0" w:rsidP="00CC2EC0">
      <w:r w:rsidRPr="00BA5AEE">
        <w:t xml:space="preserve">Voor de materiële bekostiging van de </w:t>
      </w:r>
      <w:r w:rsidR="000A7672" w:rsidRPr="00BA5AEE">
        <w:t>(V)SO</w:t>
      </w:r>
      <w:r w:rsidRPr="00BA5AEE">
        <w:t xml:space="preserve">-school geldt dat de peildatum geen aanvulling in de bekostiging geeft voor de materiële bekostiging wat de wettelijke bepalingen betreft.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huidige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CC2EC0" w:rsidRPr="00DC3118" w:rsidRDefault="00CC2EC0" w:rsidP="00DC3118">
      <w:pPr>
        <w:pStyle w:val="Kop2"/>
      </w:pPr>
      <w:bookmarkStart w:id="4" w:name="_Toc400809288"/>
      <w:r w:rsidRPr="00BA5AEE">
        <w:t>Uitputting bekostiging zware ondersteuning</w:t>
      </w:r>
      <w:bookmarkEnd w:id="4"/>
    </w:p>
    <w:p w:rsidR="00CC2EC0" w:rsidRPr="00BA5AEE" w:rsidRDefault="00CC2EC0" w:rsidP="00CC2EC0">
      <w:r w:rsidRPr="00BA5AEE">
        <w:t xml:space="preserve">In de wettelijke regeling van de bekostiging van de zware ondersteuning is rekening gehouden met de mogelijkheid dat de bijdrage die betaald moet worden door het samenwerkingsverband als overdrachtsverplichting aan het </w:t>
      </w:r>
      <w:r w:rsidR="000A7672" w:rsidRPr="00BA5AEE">
        <w:t>(V)SO</w:t>
      </w:r>
      <w:r w:rsidRPr="00BA5AEE">
        <w:t xml:space="preserve"> de mogelijkheden van het samenwerkingsverband te boven gaan. </w:t>
      </w:r>
    </w:p>
    <w:p w:rsidR="00CC2EC0" w:rsidRPr="00BA5AEE" w:rsidRDefault="00CC2EC0" w:rsidP="00CC2EC0"/>
    <w:p w:rsidR="00CC2EC0" w:rsidRPr="00BA5AEE" w:rsidRDefault="00CC2EC0" w:rsidP="00CC2EC0">
      <w:r w:rsidRPr="00BA5AEE">
        <w:t>In de wet (WPO artikel 125a, WEC artikel 119</w:t>
      </w:r>
      <w:r w:rsidR="00460AD0" w:rsidRPr="00BA5AEE">
        <w:t xml:space="preserve">, WVO artikel </w:t>
      </w:r>
      <w:r w:rsidR="002B451F" w:rsidRPr="00BA5AEE">
        <w:t>89b</w:t>
      </w:r>
      <w:r w:rsidRPr="00BA5AEE">
        <w:t xml:space="preserve">) is daarbij voor de </w:t>
      </w:r>
      <w:r w:rsidRPr="00BA5AEE">
        <w:rPr>
          <w:u w:val="single"/>
        </w:rPr>
        <w:t>personele</w:t>
      </w:r>
      <w:r w:rsidRPr="00BA5AEE">
        <w:t xml:space="preserve"> bekostiging opgenomen dat wanneer de bekostiging van de </w:t>
      </w:r>
      <w:r w:rsidR="000A7672" w:rsidRPr="00BA5AEE">
        <w:t>(V)SO</w:t>
      </w:r>
      <w:r w:rsidRPr="00BA5AEE">
        <w:t>-school op basis van de teldatum 1 okt. T-1 groter is dan de bekostiging voor de zware ondersteuning aan het samenwerkingsverband (het vaste bedrag per leerling</w:t>
      </w:r>
      <w:r w:rsidR="0059733F">
        <w:t xml:space="preserve"> plus het - positieve of negatieve -  vereveningsbedrag</w:t>
      </w:r>
      <w:r w:rsidRPr="00BA5AEE">
        <w:t>), de besturen van de scholen</w:t>
      </w:r>
      <w:r w:rsidR="00460AD0" w:rsidRPr="00BA5AEE">
        <w:t xml:space="preserve"> PO</w:t>
      </w:r>
      <w:r w:rsidR="002B451F" w:rsidRPr="00BA5AEE">
        <w:t xml:space="preserve"> (incl. SO)</w:t>
      </w:r>
      <w:r w:rsidR="00460AD0" w:rsidRPr="00BA5AEE">
        <w:t xml:space="preserve"> resp. VO</w:t>
      </w:r>
      <w:r w:rsidR="002B451F" w:rsidRPr="00BA5AEE">
        <w:t xml:space="preserve"> (incl. VSO)</w:t>
      </w:r>
      <w:r w:rsidRPr="00BA5AEE">
        <w:t xml:space="preserve"> in de ontbrekende bekostiging moeten bijdragen. Het tekort </w:t>
      </w:r>
      <w:r w:rsidR="00166C3C">
        <w:t xml:space="preserve">wordt </w:t>
      </w:r>
      <w:r w:rsidRPr="00BA5AEE">
        <w:t>om</w:t>
      </w:r>
      <w:r w:rsidR="00166C3C">
        <w:t>ge</w:t>
      </w:r>
      <w:r w:rsidRPr="00BA5AEE">
        <w:t>reken</w:t>
      </w:r>
      <w:r w:rsidR="00166C3C">
        <w:t>d</w:t>
      </w:r>
      <w:r w:rsidRPr="00BA5AEE">
        <w:t xml:space="preserve"> in een bedrag per leerling </w:t>
      </w:r>
      <w:r w:rsidR="00460AD0" w:rsidRPr="00BA5AEE">
        <w:t>PO resp. VO</w:t>
      </w:r>
      <w:r w:rsidR="005A5358">
        <w:t xml:space="preserve"> en door DUO gekort op de lumpsumbekostiging aan de betreffende schoolbesturen</w:t>
      </w:r>
      <w:r w:rsidRPr="00BA5AEE">
        <w:t xml:space="preserve">. </w:t>
      </w:r>
      <w:r w:rsidR="002B451F" w:rsidRPr="00BA5AEE">
        <w:t>D</w:t>
      </w:r>
      <w:r w:rsidRPr="00BA5AEE">
        <w:t xml:space="preserve">e bijdrage </w:t>
      </w:r>
      <w:r w:rsidR="002B451F" w:rsidRPr="00BA5AEE">
        <w:t xml:space="preserve">betreft voor het (V)SO </w:t>
      </w:r>
      <w:r w:rsidRPr="00BA5AEE">
        <w:t>die leerlingen die tot het betreffende samenwerkingsverband behoren</w:t>
      </w:r>
      <w:r w:rsidR="00166C3C">
        <w:t xml:space="preserve"> (in relatie tot de toelaatbaarheidsverklaring)</w:t>
      </w:r>
      <w:r w:rsidRPr="00BA5AEE">
        <w:t>.</w:t>
      </w:r>
      <w:r w:rsidR="00782508">
        <w:t xml:space="preserve"> </w:t>
      </w:r>
    </w:p>
    <w:p w:rsidR="0059733F" w:rsidRDefault="00CC2EC0" w:rsidP="00CC2EC0">
      <w:r w:rsidRPr="00BA5AEE">
        <w:t xml:space="preserve">Wanneer er sprake is van een tekort in verband met de overdrachtsverplichting voor de personele bekostiging in verband met de peildatum geldt deze bijdrageregeling ook (WPO </w:t>
      </w:r>
      <w:r w:rsidRPr="00BA5AEE">
        <w:lastRenderedPageBreak/>
        <w:t>artikel 125b</w:t>
      </w:r>
      <w:r w:rsidR="000C4172" w:rsidRPr="00BA5AEE">
        <w:t>, WVO artikel 85d</w:t>
      </w:r>
      <w:r w:rsidRPr="00BA5AEE">
        <w:t xml:space="preserve">). </w:t>
      </w:r>
      <w:r w:rsidR="00166C3C" w:rsidRPr="00BA5AEE">
        <w:t xml:space="preserve">De </w:t>
      </w:r>
      <w:r w:rsidR="00717F90">
        <w:t xml:space="preserve">berekeningswijze </w:t>
      </w:r>
      <w:r w:rsidR="00166C3C" w:rsidRPr="00BA5AEE">
        <w:t>voor de bijdrage per school moet in het ondersteuningsplan zijn vastgelegd.</w:t>
      </w:r>
      <w:r w:rsidR="00166C3C">
        <w:t xml:space="preserve"> Dat kan ook zijn een </w:t>
      </w:r>
      <w:r w:rsidRPr="00BA5AEE">
        <w:t xml:space="preserve">bijdrage door iedere leerling </w:t>
      </w:r>
      <w:r w:rsidR="002B451F" w:rsidRPr="00BA5AEE">
        <w:t>PO (incl. SO) resp. VO (incl. VSO)</w:t>
      </w:r>
      <w:r w:rsidRPr="00BA5AEE">
        <w:t xml:space="preserve"> die tot het betreffende samenwerkingsverband behoort</w:t>
      </w:r>
      <w:r w:rsidR="009C0B7A">
        <w:t xml:space="preserve">, maar dat hoeft niet. </w:t>
      </w:r>
    </w:p>
    <w:p w:rsidR="00677B45" w:rsidRDefault="00677B45" w:rsidP="00CC2EC0"/>
    <w:p w:rsidR="00CC2EC0" w:rsidRPr="00BA5AEE" w:rsidRDefault="00CC2EC0" w:rsidP="00CC2EC0">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rsidR="00DE26F2">
        <w:t>, maar dan voor het kalenderjaar</w:t>
      </w:r>
      <w:r w:rsidRPr="00BA5AEE">
        <w:t>.</w:t>
      </w:r>
    </w:p>
    <w:p w:rsidR="00CC2EC0" w:rsidRPr="00BA5AEE" w:rsidRDefault="00CC2EC0" w:rsidP="00CC2EC0"/>
    <w:p w:rsidR="000C4172" w:rsidRPr="00BA5AEE" w:rsidRDefault="00717F90" w:rsidP="00CC2EC0">
      <w:r>
        <w:t>Het</w:t>
      </w:r>
      <w:r w:rsidR="000C4172" w:rsidRPr="00BA5AEE">
        <w:t xml:space="preserve"> onderscheid tussen personele bekostiging en </w:t>
      </w:r>
      <w:r w:rsidR="00291E1D">
        <w:t xml:space="preserve">materiële </w:t>
      </w:r>
      <w:r w:rsidR="000C4172" w:rsidRPr="00BA5AEE">
        <w:t xml:space="preserve">bekostiging geldt ook voor de bepaling van de uitputting. Daarom is het in principe mogelijk dat er sprake is van uitputting van de personele bekostiging terwijl er nog een positief saldo is bij de berekening van de </w:t>
      </w:r>
      <w:r w:rsidR="00334936" w:rsidRPr="00BA5AEE">
        <w:t xml:space="preserve">uitputting </w:t>
      </w:r>
      <w:r w:rsidR="000C4172" w:rsidRPr="00BA5AEE">
        <w:t>materi</w:t>
      </w:r>
      <w:r w:rsidR="00334936" w:rsidRPr="00BA5AEE">
        <w:t>ë</w:t>
      </w:r>
      <w:r w:rsidR="000C4172" w:rsidRPr="00BA5AEE">
        <w:t xml:space="preserve">le </w:t>
      </w:r>
      <w:r w:rsidR="00334936" w:rsidRPr="00BA5AEE">
        <w:t>bekostiging</w:t>
      </w:r>
      <w:r w:rsidR="00E31161">
        <w:t>, of andersom</w:t>
      </w:r>
      <w:r w:rsidR="00334936"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rsidR="000E6EBE">
        <w:t xml:space="preserve"> Het is in dit verband </w:t>
      </w:r>
      <w:r w:rsidR="00FC6F18">
        <w:t>zinvol</w:t>
      </w:r>
      <w:r w:rsidR="000E6EBE">
        <w:t xml:space="preserve"> vast te stellen dat het bij de bekostiging van het samenwerkingsverband gaat om lumpsumbekostiging, zowel wat de lichte als de zware bekostiging betreft.</w:t>
      </w:r>
    </w:p>
    <w:p w:rsidR="000C4172" w:rsidRPr="00BA5AEE" w:rsidRDefault="000C4172" w:rsidP="00CC2EC0"/>
    <w:p w:rsidR="00CC2EC0" w:rsidRPr="00BA5AEE" w:rsidRDefault="00CC2EC0" w:rsidP="00CC2EC0">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0C6B24">
        <w:t xml:space="preserve">met de ‘verevening’ </w:t>
      </w:r>
      <w:r w:rsidRPr="00BA5AEE">
        <w:t xml:space="preserve">die mogelijk voldoende ruimte geeft aan samenwerkingsverbanden die relatief veel leerlingen met een indicatie hebben. Deze regeling wordt echter afgebouwd en dan kan de uitputting </w:t>
      </w:r>
      <w:r w:rsidR="002C2B48">
        <w:t xml:space="preserve">zeker </w:t>
      </w:r>
      <w:r w:rsidRPr="00BA5AEE">
        <w:t>gaan spelen.</w:t>
      </w:r>
      <w:r w:rsidR="002B451F" w:rsidRPr="00BA5AEE">
        <w:t xml:space="preserve"> Daarbij speelt ook een rol dat de normatieve bekostiging gebaseerd is op het budget dat per 1 oktober 2011 landelijk beschikbaar is</w:t>
      </w:r>
      <w:r w:rsidR="00EF2E37">
        <w:t>,</w:t>
      </w:r>
      <w:r w:rsidR="002B451F" w:rsidRPr="00BA5AEE">
        <w:t xml:space="preserve"> terwijl de overdrachtsverplichtingen gebaseerd zijn op de tellingen in het schooljaar 2013-2014</w:t>
      </w:r>
      <w:r w:rsidR="00E31161">
        <w:t xml:space="preserve"> en daarna</w:t>
      </w:r>
      <w:r w:rsidR="002B451F" w:rsidRPr="00BA5AEE">
        <w:t>. Deze tellingen kunnen hoger zijn dan die op 1 oktober 2011.</w:t>
      </w:r>
    </w:p>
    <w:p w:rsidR="00CC2EC0" w:rsidRPr="00BA5AEE" w:rsidRDefault="00CC2EC0" w:rsidP="00CC2EC0"/>
    <w:p w:rsidR="00CC2EC0" w:rsidRDefault="00CC2EC0" w:rsidP="00CC2EC0">
      <w:r w:rsidRPr="00F448AB">
        <w:t xml:space="preserve">Met name in regio’s die een hoge deelname aan het </w:t>
      </w:r>
      <w:r w:rsidR="000A7672" w:rsidRPr="00F448AB">
        <w:t>(V)SO</w:t>
      </w:r>
      <w:r w:rsidRPr="00F448AB">
        <w:t xml:space="preserve"> en/of aan LGF hebben</w:t>
      </w:r>
      <w:r w:rsidR="00CD5EE8">
        <w:t>, is het</w:t>
      </w:r>
      <w:r w:rsidRPr="00F448AB">
        <w:t xml:space="preserve"> zeer aan te bevelen de verhouding budget zware ondersteuning en overdracht aan het </w:t>
      </w:r>
      <w:r w:rsidR="000A7672" w:rsidRPr="00F448AB">
        <w:t>(V)SO</w:t>
      </w:r>
      <w:r w:rsidRPr="00F448AB">
        <w:t xml:space="preserve"> nauwgezet te monitoren en zwaar in te zetten op kwalitatieve maatregelen om de deelname aan het </w:t>
      </w:r>
      <w:r w:rsidR="000A7672" w:rsidRPr="00F448AB">
        <w:t>(V)SO</w:t>
      </w:r>
      <w:r w:rsidRPr="00F448AB">
        <w:t xml:space="preserve"> </w:t>
      </w:r>
      <w:r w:rsidR="002C2B48" w:rsidRPr="00F448AB">
        <w:t xml:space="preserve">resp. zware ondersteuning </w:t>
      </w:r>
      <w:r w:rsidRPr="00F448AB">
        <w:t>te beperken, uiteraard wel op een inhoudelijk verantwoorde wijze.</w:t>
      </w:r>
      <w:r w:rsidR="00063608">
        <w:t xml:space="preserve"> </w:t>
      </w:r>
    </w:p>
    <w:p w:rsidR="0093742A" w:rsidRDefault="0093742A" w:rsidP="00CC2EC0"/>
    <w:p w:rsidR="00677B45" w:rsidRDefault="00677B45" w:rsidP="00677B45">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677B45" w:rsidRPr="00BA5AEE" w:rsidRDefault="00677B45" w:rsidP="00CC2EC0">
      <w:r>
        <w:t>Er zijn verbanden die van plan zijn te regelen dat, voor iedere leerling die in een schooljaar na 1 oktober door een reguliere school naar het (V)SO verwezen wordt, de te ontvangen bekostiging voor die leerling overgemaakt wordt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3A5ABF" w:rsidRPr="00DC3118" w:rsidRDefault="003A5ABF" w:rsidP="00DC3118">
      <w:pPr>
        <w:pStyle w:val="Kop2"/>
      </w:pPr>
      <w:bookmarkStart w:id="5" w:name="_Toc400809289"/>
      <w:r w:rsidRPr="003A5ABF">
        <w:lastRenderedPageBreak/>
        <w:t>Residenti</w:t>
      </w:r>
      <w:r w:rsidR="00373F20">
        <w:t>ë</w:t>
      </w:r>
      <w:r w:rsidRPr="003A5ABF">
        <w:t xml:space="preserve">le </w:t>
      </w:r>
      <w:r>
        <w:t>leerlingen</w:t>
      </w:r>
      <w:bookmarkEnd w:id="5"/>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en de </w:t>
      </w:r>
      <w:r w:rsidR="0045085A">
        <w:t xml:space="preserve">laatste </w:t>
      </w:r>
      <w:r w:rsidR="00F3651D">
        <w:t xml:space="preserve">regeling daarvan is terug te vinden in de Regeling bekostiging personeel PO </w:t>
      </w:r>
      <w:r w:rsidR="00CB639C">
        <w:t xml:space="preserve">van </w:t>
      </w:r>
      <w:r w:rsidR="00022A84">
        <w:t>maart 2017</w:t>
      </w:r>
      <w:r w:rsidR="00CB639C">
        <w:t xml:space="preserve"> </w:t>
      </w:r>
      <w:r w:rsidR="00F3651D">
        <w:t xml:space="preserve">in artikel </w:t>
      </w:r>
      <w:r w:rsidR="001D4ECD">
        <w:t>3</w:t>
      </w:r>
      <w:r w:rsidR="0045085A">
        <w:t>4</w:t>
      </w:r>
      <w:r w:rsidR="00F3651D">
        <w:t>.</w:t>
      </w:r>
      <w:r w:rsidR="000C6B24">
        <w:t xml:space="preserve"> </w:t>
      </w:r>
    </w:p>
    <w:p w:rsidR="0093742A" w:rsidRDefault="009B3E37" w:rsidP="003A5ABF">
      <w:r>
        <w:t xml:space="preserve">Het samenwerkingsverband heeft 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ook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categorie 2. De bekostiging vanuit het budget van het samenwerkingsverband vindt conform teldatum 1 oktober T-1 via DUO plaats en op de peildatum 1 februari daaropvolgend door het samenwerkingsverband. Om e.e.a. zorgvuldig en correct te laten verlopen is een goede afstemming met het desbetreffende samenwerkingsverband nodig.</w:t>
      </w:r>
      <w:r w:rsidR="009302F3">
        <w:t xml:space="preserve"> In een recent wetsvoorstel (TK 34732, 31 mei 2017) is opgenomen dat de (V)SO-school in de administratie een verklaring moet hebben van de residentiële instelling dat de leerling in die instelling is geplaatst. </w:t>
      </w:r>
    </w:p>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TLV’s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w:t>
      </w:r>
      <w:r w:rsidR="00EC3CEB" w:rsidRPr="008C199A">
        <w:lastRenderedPageBreak/>
        <w:t xml:space="preserve">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EC3CEB" w:rsidRPr="008C199A">
        <w:t>. De registratie en verwerking van de gegevens vergt enige tijd zodat deze informatie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instrumenten ontwikkeld, de zogenaamde Kijkdozen. Eén voor het SWV PO resp. </w:t>
      </w:r>
      <w:r w:rsidR="00137A7C">
        <w:t xml:space="preserve">SWV </w:t>
      </w:r>
      <w:r w:rsidR="00736BFF">
        <w:t>VO en één voor het (V)SO.</w:t>
      </w:r>
    </w:p>
    <w:p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waarin nader is uitgewerkt wat redelijke kosten per week zijn als advies aan de SWV-en en (V)SO-scholen. </w:t>
      </w:r>
    </w:p>
    <w:p w:rsidR="009302F3" w:rsidRDefault="009302F3" w:rsidP="007721B0">
      <w:pPr>
        <w:pStyle w:val="Kop1"/>
      </w:pPr>
      <w:bookmarkStart w:id="6" w:name="_Toc400809292"/>
      <w:r>
        <w:br w:type="page"/>
      </w:r>
    </w:p>
    <w:p w:rsidR="00CC2EC0" w:rsidRPr="00DC3118" w:rsidRDefault="00CC2EC0" w:rsidP="007721B0">
      <w:pPr>
        <w:pStyle w:val="Kop1"/>
      </w:pPr>
      <w:r w:rsidRPr="00BA5AEE">
        <w:lastRenderedPageBreak/>
        <w:t>Zware ondersteuning</w:t>
      </w:r>
      <w:bookmarkEnd w:id="6"/>
    </w:p>
    <w:p w:rsidR="00D71B4A" w:rsidRDefault="00D71B4A" w:rsidP="00D71B4A">
      <w:pPr>
        <w:pStyle w:val="Kop2"/>
      </w:pPr>
      <w:r>
        <w:t>Bekostiging</w:t>
      </w:r>
    </w:p>
    <w:p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groepsafhankelijke en leerlingafhankelijke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is 1,1734 fte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is gelijkgesteld aan het bedrag voor het budget P&amp;A dat voor een basisschool-leerling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ontvangt,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en blijven in deze naar rato berekening niet buiten beschouwing. </w:t>
      </w:r>
    </w:p>
    <w:p w:rsidR="00CC2EC0" w:rsidRPr="00BA5AEE" w:rsidRDefault="00CC2EC0" w:rsidP="00CC2EC0"/>
    <w:p w:rsidR="00E3251A" w:rsidRDefault="00CC2EC0" w:rsidP="004550CA">
      <w:r w:rsidRPr="00BA5AEE">
        <w:t xml:space="preserve">Pas nadat alle leerlingen op een </w:t>
      </w:r>
      <w:r w:rsidR="000A7672" w:rsidRPr="00BA5AEE">
        <w:t>(V)SO</w:t>
      </w:r>
      <w:r w:rsidRPr="00BA5AEE">
        <w:t xml:space="preserve">-school op grond van </w:t>
      </w:r>
      <w:r w:rsidR="00903541" w:rsidRPr="00BA5AEE">
        <w:t xml:space="preserve">het van kracht worden van </w:t>
      </w:r>
      <w:r w:rsidRPr="00BA5AEE">
        <w:t xml:space="preserve">de wet passend onderwijs door een samenwerkingsverband op grond van een Toelaatbaarheidsverklaring (TLV) naar de </w:t>
      </w:r>
      <w:r w:rsidR="000A7672" w:rsidRPr="00BA5AEE">
        <w:t>(V)SO</w:t>
      </w:r>
      <w:r w:rsidRPr="00BA5AEE">
        <w:t>-school zijn verwezen, vindt de toerekening</w:t>
      </w:r>
      <w:r w:rsidR="00334936" w:rsidRPr="00BA5AEE">
        <w:t xml:space="preserve"> aan het verband plaats</w:t>
      </w:r>
      <w:r w:rsidR="00F64134">
        <w:t xml:space="preserve"> dat verantwoordelijk is voor de verwijzing</w:t>
      </w:r>
      <w:r w:rsidR="00334936" w:rsidRPr="00BA5AEE">
        <w:t>.</w:t>
      </w:r>
      <w:r w:rsidR="007721B0">
        <w:t xml:space="preserve"> </w:t>
      </w:r>
      <w:r w:rsidR="004550CA" w:rsidRPr="00BA5AEE">
        <w:t xml:space="preserve">Er is een termijn </w:t>
      </w:r>
      <w:r w:rsidR="004550CA" w:rsidRPr="00BA5AEE">
        <w:lastRenderedPageBreak/>
        <w:t>vastgesteld van twee jaar</w:t>
      </w:r>
      <w:r w:rsidR="00F9128C">
        <w:t xml:space="preserve">, dus tot 1 augustus 2016, </w:t>
      </w:r>
      <w:r w:rsidR="004550CA" w:rsidRPr="00BA5AEE">
        <w:t>waarbinnen het samenwerkingsverband de indicatie van een leerling in het (V)SO k</w:t>
      </w:r>
      <w:r w:rsidR="00F9128C">
        <w:t>o</w:t>
      </w:r>
      <w:r w:rsidR="004550CA" w:rsidRPr="00BA5AEE">
        <w:t xml:space="preserve">n bijstellen tot een eigen </w:t>
      </w:r>
      <w:r w:rsidR="004550CA" w:rsidRPr="00F448AB">
        <w:t>toelatingsbesluit.</w:t>
      </w:r>
      <w:r w:rsidR="00225009">
        <w:t xml:space="preserve"> </w:t>
      </w:r>
    </w:p>
    <w:p w:rsidR="00E3251A" w:rsidRDefault="00E3251A" w:rsidP="004550CA"/>
    <w:p w:rsidR="00F022A1" w:rsidRPr="00BA5AEE" w:rsidRDefault="00F022A1" w:rsidP="004550CA">
      <w:r w:rsidRPr="00BA5AEE">
        <w:t xml:space="preserve">Naast de bekostiging </w:t>
      </w:r>
      <w:r w:rsidR="00FF54F5" w:rsidRPr="00BA5AEE">
        <w:t xml:space="preserve">door DUO </w:t>
      </w:r>
      <w:r w:rsidRPr="00BA5AEE">
        <w:t xml:space="preserve">op basis van 1 oktober </w:t>
      </w:r>
      <w:r w:rsidR="00FF54F5" w:rsidRPr="00BA5AEE">
        <w:t xml:space="preserve">is er sprake van de aanvullende ondersteuningsbekostiging op basis van de peildatum </w:t>
      </w:r>
      <w:r w:rsidR="007721B0">
        <w:t>van 1 februari</w:t>
      </w:r>
      <w:r w:rsidR="00AF49E9">
        <w:t>, de overdrachtsverplichting</w:t>
      </w:r>
      <w:r w:rsidR="00FF54F5" w:rsidRPr="00BA5AEE">
        <w:t>. Belangrijk is nog dat daarbij sprake kan zijn van uitputting van het budget van het samenwerkingsverband. Die uitputting kan zich dus voordoen op ba</w:t>
      </w:r>
      <w:r w:rsidR="00F9128C">
        <w:t>sis van de telling op 1 oktober</w:t>
      </w:r>
      <w:r w:rsidR="00FF54F5" w:rsidRPr="00BA5AEE">
        <w:t>, maar ook op basis van de telling op de peildatum. Ook dat is in paragraaf 1 uiteengezet.</w:t>
      </w:r>
    </w:p>
    <w:p w:rsidR="00AF49E9" w:rsidRDefault="00AF49E9" w:rsidP="00BD774A"/>
    <w:p w:rsidR="00BD774A" w:rsidRPr="00BA5AEE" w:rsidRDefault="004E05B1" w:rsidP="00BD774A">
      <w:r>
        <w:t>Voor</w:t>
      </w:r>
      <w:r w:rsidR="00AF49E9">
        <w:t xml:space="preserve"> het schooljaar 2015-2016</w:t>
      </w:r>
      <w:r w:rsidR="00F9128C">
        <w:t xml:space="preserve"> speelde</w:t>
      </w:r>
      <w:r w:rsidR="00BD774A" w:rsidRPr="00BA5AEE">
        <w:t xml:space="preserve"> voor het eerst </w:t>
      </w:r>
      <w:r w:rsidR="00F9128C">
        <w:t>o</w:t>
      </w:r>
      <w:r w:rsidR="00BD774A" w:rsidRPr="00BA5AEE">
        <w:t>ok de peildatum een rol. Op basis van de peildatum w</w:t>
      </w:r>
      <w:r w:rsidR="00F9128C">
        <w:t>e</w:t>
      </w:r>
      <w:r w:rsidR="00BD774A" w:rsidRPr="00BA5AEE">
        <w:t>rd aanvullend de basis- en ondersteuningsbekostiging toegekend door het samenwerkingsverband</w:t>
      </w:r>
      <w:r w:rsidR="00BD774A">
        <w:t xml:space="preserve"> voor het schooljaar dat volgt op de peildatum zoals het ook in de wet is geregeld</w:t>
      </w:r>
      <w:r w:rsidR="00BD774A" w:rsidRPr="00BA5AEE">
        <w:t>.</w:t>
      </w:r>
      <w:r w:rsidR="00BD774A">
        <w:t xml:space="preserve"> De toekenning van de personele bekostiging voor het gehele schooljaar begint dan per 1 augustus 201</w:t>
      </w:r>
      <w:r w:rsidR="00AF49E9">
        <w:t>5</w:t>
      </w:r>
      <w:r w:rsidR="00BD774A">
        <w:t xml:space="preserve"> en kan het beste in twaalf termijnen worden overgemaakt. De materiële bekostiging loopt per kalenderjaar en dan dient de aanvullende toekenning van basis- en ondersteuningsbekostiging in principe vanaf 1 januari van het kalenderjaar </w:t>
      </w:r>
      <w:r w:rsidR="00AF49E9">
        <w:t xml:space="preserve">2015 </w:t>
      </w:r>
      <w:r w:rsidR="00BD774A">
        <w:t xml:space="preserve">plaats te vinden. Met de peildatum 1 februari </w:t>
      </w:r>
      <w:r w:rsidR="00AF49E9">
        <w:t xml:space="preserve">2015 </w:t>
      </w:r>
      <w:r w:rsidR="00BD774A">
        <w:t>betekent het dat dan de aanvullende toekenning ingaat per 1 januari van datzelfde kalenderjaar en kan dan ook het beste in twaalf maandelijkse termijnen worden overgemaakt.</w:t>
      </w:r>
      <w:r w:rsidR="00BD774A" w:rsidRPr="00BA5AEE">
        <w:t xml:space="preserve"> </w:t>
      </w:r>
      <w:r w:rsidR="006070C2">
        <w:t xml:space="preserve">De gegevens van de peildatum 1 februari worden </w:t>
      </w:r>
      <w:r>
        <w:t>in</w:t>
      </w:r>
      <w:r w:rsidR="006070C2">
        <w:t xml:space="preserve"> april beschikbaar gesteld door DUO via het Kijkglas-3</w:t>
      </w:r>
      <w:r w:rsidR="00424E58">
        <w:t xml:space="preserve"> en die gegevens </w:t>
      </w:r>
      <w:r w:rsidR="001B544B">
        <w:t>zijn</w:t>
      </w:r>
      <w:r w:rsidR="00424E58">
        <w:t xml:space="preserve"> verwerkt in de zogenaamde Kijkdozen waarin de berekeningen worden weergegeven per SWV PO resp. VO en per (V)SO-school</w:t>
      </w:r>
      <w:r w:rsidR="006070C2">
        <w:t>.</w:t>
      </w:r>
    </w:p>
    <w:p w:rsidR="00BD774A" w:rsidRPr="00BA5AEE"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2015 </w:t>
      </w:r>
      <w:r w:rsidRPr="00BA5AEE">
        <w:t xml:space="preserve">nagegaan wordt wat de toename is 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rsidR="00CC2EC0" w:rsidRPr="00DC3118" w:rsidRDefault="00CC2EC0" w:rsidP="00DC3118">
      <w:pPr>
        <w:pStyle w:val="Kop2"/>
      </w:pPr>
      <w:bookmarkStart w:id="7" w:name="_Toc400809293"/>
      <w:r w:rsidRPr="00BA5AEE">
        <w:t>Verevening</w:t>
      </w:r>
      <w:bookmarkEnd w:id="7"/>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 xml:space="preserve">de overgangsregeling.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rsidR="00CC2EC0" w:rsidRPr="00BA5AEE" w:rsidRDefault="00CC2EC0" w:rsidP="00CC2EC0">
      <w:r w:rsidRPr="00BA5AEE">
        <w:t>De omvang van dat bedrag wordt in dit schooljaar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voor zover die uitsplitsing bestaat</w:t>
      </w:r>
      <w:r w:rsidRPr="00BA5AEE">
        <w:t>.</w:t>
      </w:r>
    </w:p>
    <w:p w:rsidR="00CC2EC0" w:rsidRPr="00BA5AEE" w:rsidRDefault="00CC2EC0" w:rsidP="00CC2EC0"/>
    <w:p w:rsidR="000265D9" w:rsidRPr="00BA5AEE" w:rsidRDefault="00CC2EC0" w:rsidP="00CC2EC0">
      <w:r w:rsidRPr="00BA5AEE">
        <w:lastRenderedPageBreak/>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w:t>
      </w:r>
      <w:r w:rsidRPr="00BA5AEE">
        <w:rPr>
          <w:rStyle w:val="Voetnootmarkering"/>
        </w:rPr>
        <w:footnoteReference w:id="12"/>
      </w:r>
      <w:r w:rsidRPr="00BA5AEE">
        <w:t xml:space="preserve">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 xml:space="preserve">is het bedrag van de overgangsregeling. </w:t>
      </w:r>
      <w:r w:rsidR="007B0321">
        <w:t xml:space="preserve">Dat bedrag volgt jaarlijks de gebruikelijke indexering.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2016-2017</w:t>
      </w:r>
    </w:p>
    <w:p w:rsidR="00CC2EC0" w:rsidRPr="00BA5AEE" w:rsidRDefault="00CC2EC0" w:rsidP="00CC2EC0">
      <w:r w:rsidRPr="00BA5AEE">
        <w:t xml:space="preserve">Het samenwerkingsverband wordt bekostigd op basis van de normbekostiging lichte resp. zware ondersteuning waaraan </w:t>
      </w:r>
      <w:r w:rsidR="008D305E">
        <w:t xml:space="preserve">95% </w:t>
      </w:r>
      <w:r w:rsidR="004209B1">
        <w:t>c.q.</w:t>
      </w:r>
      <w:r w:rsidR="008D305E">
        <w:t xml:space="preserve"> </w:t>
      </w:r>
      <w:r w:rsidRPr="00BA5AEE">
        <w:t xml:space="preserve">90% van het – positieve </w:t>
      </w:r>
      <w:r w:rsidR="008D305E">
        <w:t>resp.</w:t>
      </w:r>
      <w:r w:rsidRPr="00BA5AEE">
        <w:t xml:space="preserve"> negatieve - bedrag van de overgangsregeling wordt toegevoegd. Met deze ver</w:t>
      </w:r>
      <w:r w:rsidR="00B017AD">
        <w:t>mindering</w:t>
      </w:r>
      <w:r w:rsidRPr="00BA5AEE">
        <w:t xml:space="preserve"> </w:t>
      </w:r>
      <w:r w:rsidR="00B017AD">
        <w:t xml:space="preserve">van het percentage </w:t>
      </w:r>
      <w:r w:rsidRPr="00BA5AEE">
        <w:t xml:space="preserve">wordt de </w:t>
      </w:r>
      <w:r w:rsidR="00DE3C5D" w:rsidRPr="00BA5AEE">
        <w:t>tweede</w:t>
      </w:r>
      <w:r w:rsidRPr="00BA5AEE">
        <w:t xml:space="preserve"> stap van de overgangsregeling gezet.</w:t>
      </w:r>
    </w:p>
    <w:p w:rsidR="00CC2EC0" w:rsidRPr="00BA5AEE" w:rsidRDefault="00CC2EC0" w:rsidP="00CC2EC0"/>
    <w:p w:rsidR="00CC2EC0" w:rsidRPr="00BA5AEE" w:rsidRDefault="00CC2EC0" w:rsidP="00CC2EC0">
      <w:pPr>
        <w:rPr>
          <w:b/>
          <w:i/>
        </w:rPr>
      </w:pPr>
      <w:r w:rsidRPr="00BA5AEE">
        <w:rPr>
          <w:b/>
          <w:i/>
        </w:rPr>
        <w:t>Schooljaar 2017-18 en verder</w:t>
      </w:r>
    </w:p>
    <w:p w:rsidR="00CC2EC0" w:rsidRPr="00BA5AEE" w:rsidRDefault="00CC2EC0" w:rsidP="00CC2EC0">
      <w:r w:rsidRPr="00BA5AEE">
        <w:t>Deze bekostiging vindt ook plaats in de daaropvolgende schooljaren, zij het dat het percentage van de overgangsregeling dan daalt:</w:t>
      </w:r>
    </w:p>
    <w:p w:rsidR="00CC2EC0" w:rsidRPr="00BA5AEE" w:rsidRDefault="00CC2EC0" w:rsidP="00CC2EC0">
      <w:r w:rsidRPr="00BA5AEE">
        <w:t>2016-2017:</w:t>
      </w:r>
      <w:r w:rsidRPr="00BA5AEE">
        <w:tab/>
      </w:r>
      <w:r w:rsidR="008D305E">
        <w:t xml:space="preserve">95% bij </w:t>
      </w:r>
      <w:r w:rsidR="00D20702">
        <w:t>verlaging</w:t>
      </w:r>
      <w:r w:rsidR="008D305E">
        <w:t xml:space="preserve"> van de extra toekenning</w:t>
      </w:r>
      <w:r w:rsidR="00001BFD">
        <w:t>,</w:t>
      </w:r>
      <w:r w:rsidR="008D305E">
        <w:t xml:space="preserve"> resp. </w:t>
      </w:r>
      <w:r w:rsidRPr="00BA5AEE">
        <w:t>90%</w:t>
      </w:r>
    </w:p>
    <w:p w:rsidR="00CC2EC0" w:rsidRPr="00BA5AEE" w:rsidRDefault="00CC2EC0" w:rsidP="00CC2EC0">
      <w:r w:rsidRPr="00BA5AEE">
        <w:t>2017-2018:</w:t>
      </w:r>
      <w:r w:rsidRPr="00BA5AEE">
        <w:tab/>
      </w:r>
      <w:r w:rsidR="008D305E">
        <w:t xml:space="preserve">80% bij </w:t>
      </w:r>
      <w:r w:rsidR="00D20702">
        <w:t>verlaging</w:t>
      </w:r>
      <w:r w:rsidR="008D305E">
        <w:t xml:space="preserve"> van de extra toekenning</w:t>
      </w:r>
      <w:r w:rsidR="00001BFD">
        <w:t>,</w:t>
      </w:r>
      <w:r w:rsidR="008D305E">
        <w:t xml:space="preserve"> resp. </w:t>
      </w:r>
      <w:r w:rsidRPr="00BA5AEE">
        <w:t>75%</w:t>
      </w:r>
    </w:p>
    <w:p w:rsidR="00CC2EC0" w:rsidRPr="00BA5AEE" w:rsidRDefault="00CC2EC0" w:rsidP="00CC2EC0">
      <w:r w:rsidRPr="00BA5AEE">
        <w:t>2018-2019:</w:t>
      </w:r>
      <w:r w:rsidRPr="00BA5AEE">
        <w:tab/>
        <w:t>60%</w:t>
      </w:r>
    </w:p>
    <w:p w:rsidR="00CC2EC0" w:rsidRPr="00BA5AEE" w:rsidRDefault="00CC2EC0" w:rsidP="00CC2EC0">
      <w:r w:rsidRPr="00BA5AEE">
        <w:t>2019-2020:</w:t>
      </w:r>
      <w:r w:rsidRPr="00BA5AEE">
        <w:tab/>
        <w:t>30%</w:t>
      </w:r>
    </w:p>
    <w:p w:rsidR="00CC2EC0" w:rsidRPr="00BA5AEE" w:rsidRDefault="00CC2EC0" w:rsidP="00CC2EC0">
      <w:r w:rsidRPr="00BA5AEE">
        <w:t>2020-2021:</w:t>
      </w:r>
      <w:r w:rsidRPr="00BA5AEE">
        <w:tab/>
        <w:t xml:space="preserve">  0%</w:t>
      </w:r>
    </w:p>
    <w:p w:rsidR="006C587B" w:rsidRPr="00BA5AEE" w:rsidRDefault="00CC2EC0">
      <w:r w:rsidRPr="00BA5AEE">
        <w:t>Vanaf dat laatste jaar is dus alleen no</w:t>
      </w:r>
      <w:r w:rsidR="004D2B05">
        <w:t>g sprake van de normbekostiging.</w:t>
      </w:r>
      <w:r w:rsidR="006C587B" w:rsidRPr="00BA5AEE">
        <w:br w:type="page"/>
      </w:r>
    </w:p>
    <w:p w:rsidR="006C587B" w:rsidRPr="00BA5AEE" w:rsidRDefault="006C587B" w:rsidP="00DC3118">
      <w:pPr>
        <w:pStyle w:val="Kop1"/>
      </w:pPr>
      <w:bookmarkStart w:id="8" w:name="_Toc400809294"/>
      <w:r w:rsidRPr="00BA5AEE">
        <w:lastRenderedPageBreak/>
        <w:t>Aandachtspunten</w:t>
      </w:r>
      <w:bookmarkEnd w:id="8"/>
    </w:p>
    <w:p w:rsidR="006C587B" w:rsidRPr="00BA5AEE" w:rsidRDefault="006C587B" w:rsidP="006C587B"/>
    <w:p w:rsidR="006C587B" w:rsidRPr="00BA5AEE" w:rsidRDefault="006C587B" w:rsidP="006C587B">
      <w:r w:rsidRPr="00BA5AEE">
        <w:t>Er gelden voor de bekostiging passend onderwijs diverse specifieke zaken op het terrein van financieel management die afzonderlijk aandacht vragen. Dat betreft zaken die nu in de context van passend onderwijs in meer of mindere mate iets anders uitvallen. Daarnaast zijn er nieuwe zaken aan de orde. Hierna behandelen we in dit hoofdstuk een aantal van deze kwesties, in willekeurige volgorde.</w:t>
      </w:r>
    </w:p>
    <w:p w:rsidR="006C587B" w:rsidRPr="00DC3118" w:rsidRDefault="006C587B" w:rsidP="00DC3118">
      <w:pPr>
        <w:pStyle w:val="Kop2"/>
      </w:pPr>
      <w:bookmarkStart w:id="9" w:name="_Toc400809295"/>
      <w:r w:rsidRPr="00BA5AEE">
        <w:t>Peildatum</w:t>
      </w:r>
      <w:bookmarkEnd w:id="9"/>
    </w:p>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In de bekostiging van de SO-school is geen sprake van 2% ondersteuningsbekostiging door het Rijk dat aangevuld moet worden. Het Rijk bekostigt 0% </w:t>
      </w:r>
      <w:r w:rsidR="00D20702">
        <w:t xml:space="preserve">ondersteuningsbekostiging </w:t>
      </w:r>
      <w:r w:rsidRPr="00BA5AEE">
        <w:t xml:space="preserve">en de bekostiging op de teldatum uit het budget van het samenwerkingsverband 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de bekostiging voor dat aantal leerlingen aan. </w:t>
      </w:r>
      <w:r w:rsidR="00B42239">
        <w:t>Daarbij worden de residentiële leerlingen ook meegeteld als leerlingen 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 xml:space="preserve">voor personele resp. materiële middelen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 xml:space="preserve">positief moet zijn voor beide leeftijdsgroepen samen.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w:t>
      </w:r>
      <w:r w:rsidR="00F8246A">
        <w:t>lling op de wettelijke regeling</w:t>
      </w:r>
    </w:p>
    <w:p w:rsidR="006C587B" w:rsidRPr="00BA5AEE" w:rsidRDefault="006C587B" w:rsidP="006C587B">
      <w:r w:rsidRPr="00BA5AEE">
        <w:t xml:space="preserve">Zoals al is aangegeven, is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is deze overdrachtsverplichting </w:t>
      </w:r>
      <w:r w:rsidR="004B369C">
        <w:t>(nog)</w:t>
      </w:r>
      <w:r w:rsidR="004B369C">
        <w:rPr>
          <w:rStyle w:val="Voetnootmarkering"/>
        </w:rPr>
        <w:footnoteReference w:id="13"/>
      </w:r>
      <w:r w:rsidR="004B369C">
        <w:t xml:space="preserve"> </w:t>
      </w:r>
      <w:r w:rsidRPr="00BA5AEE">
        <w:t xml:space="preserve">niet wettelijk vastgelegd. Dit is een nogal </w:t>
      </w:r>
      <w:r w:rsidR="00EE47B6">
        <w:t>opvallende</w:t>
      </w:r>
      <w:r w:rsidRPr="00BA5AEE">
        <w:t xml:space="preserve"> afwijking en - zoals al eerder aangegeven – is het advies </w:t>
      </w:r>
      <w:r w:rsidR="00B42239">
        <w:t xml:space="preserve">van de PO-Raad en de VO-raad </w:t>
      </w:r>
      <w:r w:rsidRPr="00BA5AEE">
        <w:t xml:space="preserve">aan het samenwerkingsverband om deze aanvulling van de basisbekostiging wel toe te kennen.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bekostiging voor 100%. </w:t>
      </w:r>
      <w:r w:rsidRPr="00BA5AEE">
        <w:t xml:space="preserve">Bovendien geldt voor de overdrachtsverplichting van de SBO dat dit maximaal het budget betreft dat aan het samenwerkingsverband als materiële lichte ondersteuningsbekostiging is toegekend. </w:t>
      </w:r>
    </w:p>
    <w:p w:rsidR="006C587B" w:rsidRPr="00BA5AEE" w:rsidRDefault="006C587B" w:rsidP="006C587B"/>
    <w:p w:rsidR="006C587B" w:rsidRPr="00BA5AEE" w:rsidRDefault="006C587B" w:rsidP="006C587B">
      <w:r w:rsidRPr="00BA5AEE">
        <w:t xml:space="preserve">Ook voor de SO-school is de omvang van de overdrachtsverplichting </w:t>
      </w:r>
      <w:r w:rsidR="000F14B1">
        <w:t xml:space="preserve">voor </w:t>
      </w:r>
      <w:r w:rsidRPr="00BA5AEE">
        <w:t>de materiële bekostiging 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B42239">
        <w:t xml:space="preserve">ook </w:t>
      </w:r>
      <w:r w:rsidRPr="00BA5AEE">
        <w:t xml:space="preserve">om als samenwerkingsverband de peildatum wel te hanteren, zowel voor de basisbekostiging als voor de ondersteuningsbekostiging voor zowel de SBO als de SO-school. </w:t>
      </w:r>
    </w:p>
    <w:p w:rsidR="006C587B" w:rsidRPr="002F5188" w:rsidRDefault="00156B99" w:rsidP="00DC3118">
      <w:pPr>
        <w:pStyle w:val="Kop2"/>
      </w:pPr>
      <w:bookmarkStart w:id="10" w:name="_Toc400809296"/>
      <w:r>
        <w:t>T-1 of T?</w:t>
      </w:r>
      <w:bookmarkEnd w:id="10"/>
    </w:p>
    <w:p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6C587B" w:rsidP="00F8246A">
      <w:r w:rsidRPr="00BA5AEE">
        <w:t xml:space="preserve">Wellicht kan dit </w:t>
      </w:r>
      <w:r w:rsidR="00BA5AEE" w:rsidRPr="00BA5AEE">
        <w:t xml:space="preserve">over enkele jaren </w:t>
      </w:r>
      <w:r w:rsidRPr="00BA5AEE">
        <w:t xml:space="preserve">heroverwogen worden </w:t>
      </w:r>
      <w:r w:rsidR="00302432">
        <w:t xml:space="preserve">- door de samenwerkingsverbanden die hier erg aan hechten - </w:t>
      </w:r>
      <w:r w:rsidRPr="00BA5AEE">
        <w:t xml:space="preserve">wanneer de nodige ervaring is opgedaan met de systematiek van de T-1 bekostiging van het passend onderwijs. </w:t>
      </w:r>
      <w:r w:rsidR="00302432">
        <w:t xml:space="preserve">Maar er is eigenlijk weinig reden om dit na te streven. </w:t>
      </w:r>
      <w:r w:rsidRPr="00BA5AEE">
        <w:rPr>
          <w:color w:val="000000"/>
        </w:rPr>
        <w:t xml:space="preserve">Door </w:t>
      </w:r>
      <w:r w:rsidR="00A3735E">
        <w:rPr>
          <w:color w:val="000000"/>
        </w:rPr>
        <w:t xml:space="preserve">de </w:t>
      </w:r>
      <w:r w:rsidRPr="00BA5AEE">
        <w:rPr>
          <w:color w:val="000000"/>
        </w:rPr>
        <w:t xml:space="preserve">T-1 </w:t>
      </w:r>
      <w:r w:rsidR="00A3735E">
        <w:rPr>
          <w:color w:val="000000"/>
        </w:rPr>
        <w:t xml:space="preserve">systematiek </w:t>
      </w:r>
      <w:r w:rsidRPr="00BA5AEE">
        <w:rPr>
          <w:color w:val="000000"/>
        </w:rPr>
        <w:t>worden middelen toegekend die bij daling van het aantal leerlingen tijd geeft voor een ontslagprocedure zoals die in de CAO is voorzien.</w:t>
      </w:r>
      <w:r w:rsidRPr="00BA5AEE">
        <w:t xml:space="preserve"> </w:t>
      </w:r>
    </w:p>
    <w:p w:rsidR="006C587B" w:rsidRPr="00DC3118" w:rsidRDefault="00845C99" w:rsidP="00DC3118">
      <w:pPr>
        <w:pStyle w:val="Kop2"/>
      </w:pPr>
      <w:bookmarkStart w:id="11" w:name="_Toc400809297"/>
      <w:r>
        <w:t>Leeftijd overgang van SO naar VSO en v</w:t>
      </w:r>
      <w:r w:rsidR="00636860">
        <w:t>erblijfsduur in het</w:t>
      </w:r>
      <w:r w:rsidR="006C587B" w:rsidRPr="00BA5AEE">
        <w:t xml:space="preserve"> VSO</w:t>
      </w:r>
      <w:bookmarkEnd w:id="11"/>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in het staatsblad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6C587B" w:rsidRPr="005E3D7C" w:rsidRDefault="006C587B" w:rsidP="006C587B">
      <w:r w:rsidRPr="00BA5AEE">
        <w:t xml:space="preserve">De formulering is overgenomen van de analoge bepaling van de overgang van de leerling van de basisschool naar het voortgezet onderwijs. Het gevolg van deze nieuwe indeling was dat in de voorlopige </w:t>
      </w:r>
      <w:r w:rsidR="00A3735E">
        <w:t xml:space="preserve">berekening van de </w:t>
      </w:r>
      <w:r w:rsidRPr="00BA5AEE">
        <w:t xml:space="preserve">bekostiging van de samenwerkingsverbanden PO resp. VO voor de zware ondersteuningsbekostiging een forse financiële verschuiving plaatsvond. Dat kwam omdat het – om </w:t>
      </w:r>
      <w:r w:rsidR="00302432">
        <w:t xml:space="preserve">veelal </w:t>
      </w:r>
      <w:r w:rsidRPr="00BA5AEE">
        <w:t xml:space="preserve">goede redenen - niet ongebruikelijk was dat scholen voor SO ook leerlingen hadden die al (veel) ouder waren dan 14 jaar. In de nieuwe kwaliteitswet </w:t>
      </w:r>
      <w:r w:rsidR="00283A65">
        <w:t xml:space="preserve">voor het </w:t>
      </w:r>
      <w:r w:rsidR="002F5188">
        <w:t xml:space="preserve">(voortgezet) </w:t>
      </w:r>
      <w:r w:rsidR="00283A65">
        <w:t xml:space="preserve">speciaal onderwijs </w:t>
      </w:r>
      <w:r w:rsidR="00A3735E">
        <w:t>is</w:t>
      </w:r>
      <w:r w:rsidRPr="00BA5AEE">
        <w:t xml:space="preserve"> nu echter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leeftijdsgrens van 20 jaar ‘</w:t>
      </w:r>
      <w:r w:rsidR="005E3D7C" w:rsidRPr="005E3D7C">
        <w:rPr>
          <w:color w:val="000000"/>
        </w:rPr>
        <w:t>indien het voortgezet verblijf op de school wenselijk is ter voltooiing van zijn opleiding of van een op verhoging van zijn arbeidsgeschiktheid gerichte behandeling</w:t>
      </w:r>
      <w:r w:rsidR="005E3D7C">
        <w:rPr>
          <w:color w:val="000000"/>
        </w:rPr>
        <w:t>’.</w:t>
      </w:r>
    </w:p>
    <w:p w:rsidR="006C587B" w:rsidRPr="00BA5AEE" w:rsidRDefault="006C587B" w:rsidP="006C587B"/>
    <w:p w:rsidR="006C587B" w:rsidRPr="00BA5AEE" w:rsidRDefault="006C587B" w:rsidP="006C587B">
      <w:r w:rsidRPr="00BA5AEE">
        <w:lastRenderedPageBreak/>
        <w:t xml:space="preserve">Tegelijkertijd is het nu ook duidelijk dat het nogal wat uitmaakt tot welke leeftijd een leerling in het SO aanwezig blijft. De bedragen voor de basisbekostiging en voor de zware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4"/>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2" w:name="_Toc400809298"/>
      <w:r w:rsidRPr="00BA5AEE">
        <w:t>Verantwoording</w:t>
      </w:r>
      <w:bookmarkEnd w:id="12"/>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 xml:space="preserve">Wie verantwoord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 xml:space="preserve">Inmiddels is </w:t>
      </w:r>
      <w:r w:rsidR="00F8246A">
        <w:t xml:space="preserve">in het najaar van 2017 in het overleg </w:t>
      </w:r>
      <w:r w:rsidR="005E3D7C">
        <w:t xml:space="preserve">teruggekomen op de aftrek </w:t>
      </w:r>
      <w:r w:rsidR="004B369C">
        <w:t xml:space="preserve">van de overdrachten </w:t>
      </w:r>
      <w:r w:rsidR="005E3D7C">
        <w:t xml:space="preserve">van de Rijksbekostiging en </w:t>
      </w:r>
      <w:r w:rsidR="00F8246A">
        <w:t>is nu het plan om</w:t>
      </w:r>
      <w:r w:rsidR="005E3D7C">
        <w:t xml:space="preserve"> het nu op reguliere wijze bij de baten en de lasten </w:t>
      </w:r>
      <w:r w:rsidR="00F8246A">
        <w:t xml:space="preserve">te </w:t>
      </w:r>
      <w:r w:rsidR="005E3D7C">
        <w:t>verwerk</w:t>
      </w:r>
      <w:r w:rsidR="00F8246A">
        <w:t>en</w:t>
      </w:r>
      <w:r w:rsidR="005E3D7C">
        <w:t xml:space="preserve">. Over deze voorgenomen wijziging - die van kracht moet worden voor het jaarverslag 2017 - komt binnenkort nadere informatie en ook worden de instrumenten daarop aangepast. </w:t>
      </w:r>
    </w:p>
    <w:p w:rsidR="00EE47B6" w:rsidRPr="00BA5AEE" w:rsidRDefault="00EE47B6" w:rsidP="006C587B"/>
    <w:p w:rsidR="006C587B" w:rsidRPr="00BA5AEE" w:rsidRDefault="006C587B" w:rsidP="006C587B">
      <w:r w:rsidRPr="006B6D75">
        <w:t>Om de meer inhoudelijke verantwoording te regelen is het de bedoeling dat de sector zelf</w:t>
      </w:r>
      <w:r w:rsidRPr="00BA5AEE">
        <w:t xml:space="preserve"> hier op termijn verantwoordelijkheid voor gaat dragen en dit toegankelijk maakt, bijvoorbeeld </w:t>
      </w:r>
      <w:r w:rsidRPr="00BA5AEE">
        <w:lastRenderedPageBreak/>
        <w:t xml:space="preserve">via internet in wat dan ‘Vensters Passend Onderwijs’ zou kunnen heten. Zolang dat nog niet gerealiseerd is </w:t>
      </w:r>
      <w:r w:rsidR="00A3735E">
        <w:t xml:space="preserve">komt er </w:t>
      </w:r>
      <w:r w:rsidRPr="00BA5AEE">
        <w:t>de volgende aanpak:</w:t>
      </w:r>
    </w:p>
    <w:p w:rsidR="006C587B" w:rsidRPr="00BA5AEE" w:rsidRDefault="00A8330B" w:rsidP="006A1A3E">
      <w:pPr>
        <w:pStyle w:val="Lijstalinea"/>
        <w:numPr>
          <w:ilvl w:val="0"/>
          <w:numId w:val="3"/>
        </w:numPr>
      </w:pPr>
      <w:r>
        <w:t>Er</w:t>
      </w:r>
      <w:r w:rsidR="006C587B" w:rsidRPr="00BA5AEE">
        <w:t xml:space="preserve"> komt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r>
        <w:t>P</w:t>
      </w:r>
      <w:r w:rsidR="006C587B" w:rsidRPr="00BA5AEE">
        <w:t xml:space="preserve">restatiebox. Dat wil zeggen dat schoolbesturen en samenwerkingsverbanden in hun bestuursverslag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rsidR="006C587B" w:rsidRPr="00BA5AEE" w:rsidRDefault="006C587B" w:rsidP="006A1A3E">
      <w:pPr>
        <w:pStyle w:val="Lijstalinea"/>
        <w:numPr>
          <w:ilvl w:val="0"/>
          <w:numId w:val="3"/>
        </w:numPr>
      </w:pPr>
      <w:r w:rsidRPr="00BA5AEE">
        <w:t xml:space="preserve">Het is daarbij de bedoeling dat de PO-Raad en de VO-Raad een actief beleid voeren om te stimuleren dat samenwerkingsverbanden zelf (bottum-up)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A8330B">
        <w:t xml:space="preserve">zal nog nader beoordeeld worden op basis van de </w:t>
      </w:r>
      <w:r w:rsidR="00B25151">
        <w:t xml:space="preserve">uitgebrachte jaarverslagen </w:t>
      </w:r>
      <w:r w:rsidRPr="00BA5AEE">
        <w:t xml:space="preserve">en de Tweede Kamer </w:t>
      </w:r>
      <w:r w:rsidR="001F6A1D">
        <w:t>geeft bij de besprekingen van de voortgangsrapportages hun kritische commentaar erop</w:t>
      </w:r>
      <w:r w:rsidRPr="00BA5AEE">
        <w:t xml:space="preserve">. </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6C587B" w:rsidRPr="00BA5AEE" w:rsidRDefault="006C587B" w:rsidP="00DC3118">
      <w:pPr>
        <w:pStyle w:val="Kop1"/>
      </w:pPr>
      <w:bookmarkStart w:id="13" w:name="_Toc400809300"/>
      <w:r w:rsidRPr="00BA5AEE">
        <w:t>Bijlage I</w:t>
      </w:r>
      <w:r w:rsidR="00B017AD">
        <w:t>A</w:t>
      </w:r>
      <w:r w:rsidRPr="00BA5AEE">
        <w:tab/>
        <w:t xml:space="preserve">Bedragen </w:t>
      </w:r>
      <w:r w:rsidR="003B2793">
        <w:t xml:space="preserve">bekostiging </w:t>
      </w:r>
      <w:r w:rsidR="008A161B">
        <w:t>(V)</w:t>
      </w:r>
      <w:r w:rsidR="003B2793">
        <w:t>SO</w:t>
      </w:r>
      <w:bookmarkEnd w:id="13"/>
      <w:r w:rsidR="000F549D">
        <w:t xml:space="preserve"> </w:t>
      </w:r>
    </w:p>
    <w:p w:rsidR="006C587B" w:rsidRDefault="006C587B" w:rsidP="006C587B"/>
    <w:p w:rsidR="00755AA8" w:rsidRPr="00983D3E" w:rsidRDefault="00755AA8" w:rsidP="00755AA8">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6</w:t>
      </w:r>
      <w:r w:rsidRPr="00983D3E">
        <w:rPr>
          <w:rFonts w:ascii="Verdana" w:hAnsi="Verdana"/>
          <w:b/>
          <w:sz w:val="18"/>
          <w:szCs w:val="18"/>
        </w:rPr>
        <w:t xml:space="preserve"> o.b.v. prijzen 201</w:t>
      </w:r>
      <w:r>
        <w:rPr>
          <w:rFonts w:ascii="Verdana" w:hAnsi="Verdana"/>
          <w:b/>
          <w:sz w:val="18"/>
          <w:szCs w:val="18"/>
        </w:rPr>
        <w:t>6</w:t>
      </w:r>
      <w:r w:rsidRPr="00983D3E">
        <w:rPr>
          <w:rFonts w:ascii="Verdana" w:hAnsi="Verdana"/>
          <w:b/>
          <w:sz w:val="18"/>
          <w:szCs w:val="18"/>
        </w:rPr>
        <w:t>-201</w:t>
      </w:r>
      <w:r>
        <w:rPr>
          <w:rFonts w:ascii="Verdana" w:hAnsi="Verdana"/>
          <w:b/>
          <w:sz w:val="18"/>
          <w:szCs w:val="18"/>
        </w:rPr>
        <w:t>7</w:t>
      </w:r>
      <w:r w:rsidRPr="00983D3E">
        <w:rPr>
          <w:rFonts w:ascii="Verdana" w:hAnsi="Verdana"/>
          <w:b/>
          <w:sz w:val="18"/>
          <w:szCs w:val="18"/>
        </w:rPr>
        <w:t xml:space="preserve"> (</w:t>
      </w:r>
      <w:r w:rsidR="00FC4DF5">
        <w:rPr>
          <w:rFonts w:ascii="Verdana" w:hAnsi="Verdana"/>
          <w:b/>
          <w:sz w:val="18"/>
          <w:szCs w:val="18"/>
        </w:rPr>
        <w:t>sept.</w:t>
      </w:r>
      <w:r>
        <w:rPr>
          <w:rFonts w:ascii="Verdana" w:hAnsi="Verdana"/>
          <w:b/>
          <w:sz w:val="18"/>
          <w:szCs w:val="18"/>
        </w:rPr>
        <w:t xml:space="preserve"> 201</w:t>
      </w:r>
      <w:r w:rsidR="00FC4DF5">
        <w:rPr>
          <w:rFonts w:ascii="Verdana" w:hAnsi="Verdana"/>
          <w:b/>
          <w:sz w:val="18"/>
          <w:szCs w:val="18"/>
        </w:rPr>
        <w:t>7</w:t>
      </w:r>
      <w:r w:rsidRPr="00983D3E">
        <w:rPr>
          <w:rFonts w:ascii="Verdana" w:hAnsi="Verdana"/>
          <w:b/>
          <w:sz w:val="18"/>
          <w:szCs w:val="18"/>
        </w:rPr>
        <w:t>)</w:t>
      </w:r>
    </w:p>
    <w:p w:rsidR="00755AA8" w:rsidRDefault="00755AA8" w:rsidP="00755AA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FC4DF5" w:rsidRDefault="00FC4DF5" w:rsidP="00755AA8">
      <w:pPr>
        <w:rPr>
          <w:rFonts w:ascii="Verdana" w:hAnsi="Verdana"/>
          <w:sz w:val="18"/>
          <w:szCs w:val="18"/>
        </w:rPr>
      </w:pPr>
      <w:r w:rsidRPr="00FC4DF5">
        <w:rPr>
          <w:noProof/>
        </w:rPr>
        <w:drawing>
          <wp:inline distT="0" distB="0" distL="0" distR="0">
            <wp:extent cx="5339690" cy="885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591" cy="902398"/>
                    </a:xfrm>
                    <a:prstGeom prst="rect">
                      <a:avLst/>
                    </a:prstGeom>
                    <a:noFill/>
                    <a:ln>
                      <a:noFill/>
                    </a:ln>
                  </pic:spPr>
                </pic:pic>
              </a:graphicData>
            </a:graphic>
          </wp:inline>
        </w:drawing>
      </w:r>
    </w:p>
    <w:p w:rsidR="00755AA8" w:rsidRPr="001F6A1D" w:rsidRDefault="00755AA8" w:rsidP="00755AA8">
      <w:pPr>
        <w:rPr>
          <w:sz w:val="18"/>
          <w:szCs w:val="18"/>
        </w:rPr>
      </w:pPr>
      <w:r w:rsidRPr="001F6A1D">
        <w:rPr>
          <w:sz w:val="18"/>
          <w:szCs w:val="18"/>
        </w:rPr>
        <w:t>Budget P&amp;A</w:t>
      </w:r>
      <w:r w:rsidRPr="001F6A1D">
        <w:rPr>
          <w:sz w:val="18"/>
          <w:szCs w:val="18"/>
        </w:rPr>
        <w:tab/>
        <w:t>per leerling</w:t>
      </w:r>
      <w:r w:rsidRPr="001F6A1D">
        <w:rPr>
          <w:sz w:val="18"/>
          <w:szCs w:val="18"/>
        </w:rPr>
        <w:tab/>
      </w:r>
      <w:r w:rsidRPr="001F6A1D">
        <w:rPr>
          <w:sz w:val="18"/>
          <w:szCs w:val="18"/>
        </w:rPr>
        <w:tab/>
      </w:r>
      <w:r w:rsidRPr="001F6A1D">
        <w:rPr>
          <w:sz w:val="18"/>
          <w:szCs w:val="18"/>
        </w:rPr>
        <w:tab/>
        <w:t>€ 4</w:t>
      </w:r>
      <w:r w:rsidR="00FC4DF5" w:rsidRPr="001F6A1D">
        <w:rPr>
          <w:sz w:val="18"/>
          <w:szCs w:val="18"/>
        </w:rPr>
        <w:t>62,78</w:t>
      </w:r>
    </w:p>
    <w:p w:rsidR="00755AA8" w:rsidRPr="001F6A1D" w:rsidRDefault="00755AA8" w:rsidP="00755AA8">
      <w:pPr>
        <w:rPr>
          <w:sz w:val="18"/>
          <w:szCs w:val="18"/>
        </w:rPr>
      </w:pPr>
      <w:r w:rsidRPr="001F6A1D">
        <w:rPr>
          <w:sz w:val="18"/>
          <w:szCs w:val="18"/>
        </w:rPr>
        <w:t>Per cumi leerling P&amp;A</w:t>
      </w:r>
      <w:r w:rsidRPr="001F6A1D">
        <w:rPr>
          <w:sz w:val="18"/>
          <w:szCs w:val="18"/>
        </w:rPr>
        <w:tab/>
      </w:r>
      <w:r w:rsidRPr="001F6A1D">
        <w:rPr>
          <w:sz w:val="18"/>
          <w:szCs w:val="18"/>
        </w:rPr>
        <w:tab/>
      </w:r>
      <w:r w:rsidRPr="001F6A1D">
        <w:rPr>
          <w:sz w:val="18"/>
          <w:szCs w:val="18"/>
        </w:rPr>
        <w:tab/>
      </w:r>
      <w:r w:rsidRPr="001F6A1D">
        <w:rPr>
          <w:sz w:val="18"/>
          <w:szCs w:val="18"/>
        </w:rPr>
        <w:tab/>
        <w:t>€ 13</w:t>
      </w:r>
      <w:r w:rsidR="00FC4DF5" w:rsidRPr="001F6A1D">
        <w:rPr>
          <w:sz w:val="18"/>
          <w:szCs w:val="18"/>
        </w:rPr>
        <w:t>6,74</w:t>
      </w:r>
    </w:p>
    <w:p w:rsidR="00FC4DF5" w:rsidRDefault="00FC4DF5" w:rsidP="00755AA8">
      <w:pPr>
        <w:rPr>
          <w:rFonts w:ascii="Verdana" w:hAnsi="Verdana"/>
          <w:sz w:val="18"/>
          <w:szCs w:val="18"/>
        </w:rPr>
      </w:pPr>
    </w:p>
    <w:p w:rsidR="00755AA8" w:rsidRPr="00D448F9" w:rsidRDefault="00755AA8" w:rsidP="00755AA8">
      <w:pPr>
        <w:rPr>
          <w:rFonts w:ascii="Verdana" w:hAnsi="Verdana"/>
          <w:b/>
          <w:sz w:val="18"/>
          <w:szCs w:val="18"/>
        </w:rPr>
      </w:pPr>
      <w:r w:rsidRPr="00D448F9">
        <w:rPr>
          <w:rFonts w:ascii="Verdana" w:hAnsi="Verdana"/>
          <w:b/>
          <w:sz w:val="18"/>
          <w:szCs w:val="18"/>
        </w:rPr>
        <w:t>Directietoeslagen</w:t>
      </w:r>
    </w:p>
    <w:p w:rsidR="00FC4DF5" w:rsidRDefault="00FC4DF5" w:rsidP="00755AA8">
      <w:pPr>
        <w:rPr>
          <w:rFonts w:ascii="Verdana" w:hAnsi="Verdana"/>
          <w:sz w:val="18"/>
          <w:szCs w:val="18"/>
        </w:rPr>
      </w:pPr>
      <w:r w:rsidRPr="00FC4DF5">
        <w:rPr>
          <w:noProof/>
        </w:rPr>
        <w:drawing>
          <wp:inline distT="0" distB="0" distL="0" distR="0" wp14:anchorId="254BF111" wp14:editId="6D6BD2B8">
            <wp:extent cx="5339080" cy="4963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2171" cy="512488"/>
                    </a:xfrm>
                    <a:prstGeom prst="rect">
                      <a:avLst/>
                    </a:prstGeom>
                    <a:noFill/>
                    <a:ln>
                      <a:noFill/>
                    </a:ln>
                  </pic:spPr>
                </pic:pic>
              </a:graphicData>
            </a:graphic>
          </wp:inline>
        </w:drawing>
      </w:r>
    </w:p>
    <w:p w:rsidR="00FC4DF5" w:rsidRDefault="00FC4DF5" w:rsidP="00755AA8">
      <w:pPr>
        <w:rPr>
          <w:rFonts w:ascii="Verdana" w:hAnsi="Verdana"/>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6</w:t>
      </w:r>
      <w:r w:rsidRPr="00983D3E">
        <w:rPr>
          <w:rFonts w:ascii="Verdana" w:hAnsi="Verdana"/>
          <w:b/>
          <w:sz w:val="18"/>
          <w:szCs w:val="18"/>
        </w:rPr>
        <w:t>-1</w:t>
      </w:r>
      <w:r>
        <w:rPr>
          <w:rFonts w:ascii="Verdana" w:hAnsi="Verdana"/>
          <w:b/>
          <w:sz w:val="18"/>
          <w:szCs w:val="18"/>
        </w:rPr>
        <w:t>7 (</w:t>
      </w:r>
      <w:r w:rsidR="001F6A1D">
        <w:rPr>
          <w:rFonts w:ascii="Verdana" w:hAnsi="Verdana"/>
          <w:b/>
          <w:sz w:val="18"/>
          <w:szCs w:val="18"/>
        </w:rPr>
        <w:t>sept.</w:t>
      </w:r>
      <w:r>
        <w:rPr>
          <w:rFonts w:ascii="Verdana" w:hAnsi="Verdana"/>
          <w:b/>
          <w:sz w:val="18"/>
          <w:szCs w:val="18"/>
        </w:rPr>
        <w:t xml:space="preserve"> 201</w:t>
      </w:r>
      <w:r w:rsidR="001F6A1D">
        <w:rPr>
          <w:rFonts w:ascii="Verdana" w:hAnsi="Verdana"/>
          <w:b/>
          <w:sz w:val="18"/>
          <w:szCs w:val="18"/>
        </w:rPr>
        <w:t>7</w:t>
      </w:r>
      <w:r>
        <w:rPr>
          <w:rFonts w:ascii="Verdana" w:hAnsi="Verdana"/>
          <w:b/>
          <w:sz w:val="18"/>
          <w:szCs w:val="18"/>
        </w:rPr>
        <w:t>)</w:t>
      </w:r>
    </w:p>
    <w:tbl>
      <w:tblPr>
        <w:tblW w:w="7960" w:type="dxa"/>
        <w:tblCellMar>
          <w:left w:w="70" w:type="dxa"/>
          <w:right w:w="70" w:type="dxa"/>
        </w:tblCellMar>
        <w:tblLook w:val="04A0" w:firstRow="1" w:lastRow="0" w:firstColumn="1" w:lastColumn="0" w:noHBand="0" w:noVBand="1"/>
      </w:tblPr>
      <w:tblGrid>
        <w:gridCol w:w="2620"/>
        <w:gridCol w:w="1780"/>
        <w:gridCol w:w="1780"/>
        <w:gridCol w:w="1780"/>
      </w:tblGrid>
      <w:tr w:rsidR="00FC4DF5" w:rsidRPr="001F6A1D" w:rsidTr="001F6A1D">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sz w:val="20"/>
                <w:szCs w:val="20"/>
              </w:rPr>
            </w:pPr>
            <w:r w:rsidRPr="001F6A1D">
              <w:rPr>
                <w:rFonts w:asciiTheme="minorHAnsi" w:hAnsiTheme="minorHAnsi" w:cstheme="minorHAnsi"/>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cat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cat 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cat 3</w:t>
            </w:r>
          </w:p>
        </w:tc>
      </w:tr>
      <w:tr w:rsidR="00FC4DF5" w:rsidRPr="001F6A1D" w:rsidTr="001F6A1D">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sz w:val="20"/>
                <w:szCs w:val="20"/>
              </w:rPr>
            </w:pPr>
            <w:r w:rsidRPr="001F6A1D">
              <w:rPr>
                <w:rFonts w:asciiTheme="minorHAnsi" w:hAnsiTheme="minorHAnsi" w:cstheme="minorHAnsi"/>
                <w:sz w:val="20"/>
                <w:szCs w:val="20"/>
              </w:rPr>
              <w:t xml:space="preserve"> €                 9.319,70 </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sz w:val="20"/>
                <w:szCs w:val="20"/>
              </w:rPr>
            </w:pPr>
            <w:r w:rsidRPr="001F6A1D">
              <w:rPr>
                <w:rFonts w:asciiTheme="minorHAnsi" w:hAnsiTheme="minorHAnsi" w:cstheme="minorHAnsi"/>
                <w:sz w:val="20"/>
                <w:szCs w:val="20"/>
              </w:rPr>
              <w:t xml:space="preserve"> €               13.657,75 </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 xml:space="preserve"> €          20.806,83 </w:t>
            </w:r>
          </w:p>
        </w:tc>
      </w:tr>
      <w:tr w:rsidR="00FC4DF5" w:rsidRPr="001F6A1D" w:rsidTr="001F6A1D">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sz w:val="20"/>
                <w:szCs w:val="20"/>
              </w:rPr>
            </w:pPr>
            <w:r w:rsidRPr="001F6A1D">
              <w:rPr>
                <w:rFonts w:asciiTheme="minorHAnsi" w:hAnsiTheme="minorHAnsi" w:cstheme="minorHAnsi"/>
                <w:sz w:val="20"/>
                <w:szCs w:val="20"/>
              </w:rPr>
              <w:t xml:space="preserve"> €                 8.460,33 </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sz w:val="20"/>
                <w:szCs w:val="20"/>
              </w:rPr>
            </w:pPr>
            <w:r w:rsidRPr="001F6A1D">
              <w:rPr>
                <w:rFonts w:asciiTheme="minorHAnsi" w:hAnsiTheme="minorHAnsi" w:cstheme="minorHAnsi"/>
                <w:sz w:val="20"/>
                <w:szCs w:val="20"/>
              </w:rPr>
              <w:t xml:space="preserve"> €               14.790,41 </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 xml:space="preserve"> €          21.939,49 </w:t>
            </w:r>
          </w:p>
        </w:tc>
      </w:tr>
      <w:tr w:rsidR="00FC4DF5" w:rsidRPr="001F6A1D" w:rsidTr="001F6A1D">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sz w:val="20"/>
                <w:szCs w:val="20"/>
              </w:rPr>
            </w:pPr>
            <w:r w:rsidRPr="001F6A1D">
              <w:rPr>
                <w:rFonts w:asciiTheme="minorHAnsi" w:hAnsiTheme="minorHAnsi" w:cstheme="minorHAnsi"/>
                <w:sz w:val="20"/>
                <w:szCs w:val="20"/>
              </w:rPr>
              <w:t xml:space="preserve"> €                 9.413,02 </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sz w:val="20"/>
                <w:szCs w:val="20"/>
              </w:rPr>
            </w:pPr>
            <w:r w:rsidRPr="001F6A1D">
              <w:rPr>
                <w:rFonts w:asciiTheme="minorHAnsi" w:hAnsiTheme="minorHAnsi" w:cstheme="minorHAnsi"/>
                <w:sz w:val="20"/>
                <w:szCs w:val="20"/>
              </w:rPr>
              <w:t xml:space="preserve"> €               16.696,56 </w:t>
            </w:r>
          </w:p>
        </w:tc>
        <w:tc>
          <w:tcPr>
            <w:tcW w:w="1780" w:type="dxa"/>
            <w:tcBorders>
              <w:top w:val="nil"/>
              <w:left w:val="nil"/>
              <w:bottom w:val="single" w:sz="4" w:space="0" w:color="auto"/>
              <w:right w:val="single" w:sz="4" w:space="0" w:color="auto"/>
            </w:tcBorders>
            <w:shd w:val="clear" w:color="auto" w:fill="auto"/>
            <w:noWrap/>
            <w:vAlign w:val="bottom"/>
            <w:hideMark/>
          </w:tcPr>
          <w:p w:rsidR="00FC4DF5" w:rsidRPr="001F6A1D" w:rsidRDefault="00FC4DF5" w:rsidP="00FC4DF5">
            <w:pPr>
              <w:rPr>
                <w:rFonts w:asciiTheme="minorHAnsi" w:hAnsiTheme="minorHAnsi" w:cstheme="minorHAnsi"/>
                <w:color w:val="000000"/>
                <w:sz w:val="20"/>
                <w:szCs w:val="20"/>
              </w:rPr>
            </w:pPr>
            <w:r w:rsidRPr="001F6A1D">
              <w:rPr>
                <w:rFonts w:asciiTheme="minorHAnsi" w:hAnsiTheme="minorHAnsi" w:cstheme="minorHAnsi"/>
                <w:color w:val="000000"/>
                <w:sz w:val="20"/>
                <w:szCs w:val="20"/>
              </w:rPr>
              <w:t xml:space="preserve"> €          20.763,52 </w:t>
            </w:r>
          </w:p>
        </w:tc>
      </w:tr>
    </w:tbl>
    <w:p w:rsidR="00FC4DF5" w:rsidRDefault="00FC4DF5" w:rsidP="00755AA8">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755AA8" w:rsidRDefault="00755AA8" w:rsidP="00755AA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755AA8" w:rsidRPr="005C2F9A" w:rsidRDefault="00755AA8" w:rsidP="00755AA8">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755AA8" w:rsidRPr="005C2F9A" w:rsidRDefault="00755AA8" w:rsidP="00755AA8">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755AA8" w:rsidRPr="005C2F9A" w:rsidRDefault="00755AA8" w:rsidP="00755AA8">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755AA8" w:rsidRPr="005C2F9A" w:rsidRDefault="00755AA8" w:rsidP="00755AA8">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755AA8" w:rsidRPr="005C2F9A" w:rsidRDefault="00755AA8" w:rsidP="00755AA8">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755AA8" w:rsidRPr="005C2F9A" w:rsidRDefault="00755AA8" w:rsidP="00755AA8">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755AA8" w:rsidRDefault="00755AA8" w:rsidP="00755AA8">
      <w:pPr>
        <w:rPr>
          <w:rFonts w:ascii="Verdana" w:hAnsi="Verdana"/>
          <w:sz w:val="18"/>
          <w:szCs w:val="18"/>
        </w:rPr>
      </w:pPr>
    </w:p>
    <w:p w:rsidR="00755AA8" w:rsidRPr="00EB4110" w:rsidRDefault="00755AA8" w:rsidP="00755AA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755AA8" w:rsidRPr="00B36823" w:rsidRDefault="00755AA8" w:rsidP="00755AA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755AA8" w:rsidRPr="00B36823" w:rsidRDefault="00755AA8" w:rsidP="00755AA8">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659,14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737,71</w:t>
      </w:r>
      <w:r w:rsidRPr="0023169C">
        <w:rPr>
          <w:rFonts w:ascii="Verdana" w:hAnsi="Verdana"/>
          <w:sz w:val="18"/>
          <w:szCs w:val="18"/>
        </w:rPr>
        <w:tab/>
      </w:r>
      <w:r>
        <w:rPr>
          <w:rFonts w:ascii="Verdana" w:hAnsi="Verdana"/>
          <w:sz w:val="18"/>
          <w:szCs w:val="18"/>
        </w:rPr>
        <w:t>€ 1.208,11</w:t>
      </w:r>
      <w:r>
        <w:rPr>
          <w:rFonts w:ascii="Verdana" w:hAnsi="Verdana"/>
          <w:sz w:val="18"/>
          <w:szCs w:val="18"/>
        </w:rPr>
        <w:tab/>
        <w:t>€ 1.582,58</w:t>
      </w:r>
    </w:p>
    <w:p w:rsidR="00755AA8" w:rsidRPr="00983D3E" w:rsidRDefault="00755AA8" w:rsidP="00755AA8">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578,78</w:t>
      </w:r>
      <w:r>
        <w:rPr>
          <w:rFonts w:ascii="Verdana" w:hAnsi="Verdana"/>
          <w:sz w:val="18"/>
          <w:szCs w:val="18"/>
        </w:rPr>
        <w:tab/>
      </w:r>
      <w:r>
        <w:rPr>
          <w:rFonts w:ascii="Verdana" w:hAnsi="Verdana"/>
          <w:sz w:val="18"/>
          <w:szCs w:val="18"/>
        </w:rPr>
        <w:tab/>
        <w:t>€ 820,20</w:t>
      </w:r>
      <w:r>
        <w:rPr>
          <w:rFonts w:ascii="Verdana" w:hAnsi="Verdana"/>
          <w:sz w:val="18"/>
          <w:szCs w:val="18"/>
        </w:rPr>
        <w:tab/>
        <w:t>€ 1.288,99</w:t>
      </w:r>
      <w:r>
        <w:rPr>
          <w:rFonts w:ascii="Verdana" w:hAnsi="Verdana"/>
          <w:sz w:val="18"/>
          <w:szCs w:val="18"/>
        </w:rPr>
        <w:tab/>
        <w:t>€ 1.576,21</w:t>
      </w:r>
    </w:p>
    <w:p w:rsidR="00755AA8" w:rsidRDefault="00755AA8" w:rsidP="00755AA8">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€ 1.198,19</w:t>
      </w:r>
      <w:r>
        <w:rPr>
          <w:rFonts w:ascii="Verdana" w:hAnsi="Verdana"/>
          <w:sz w:val="18"/>
          <w:szCs w:val="18"/>
        </w:rPr>
        <w:tab/>
      </w:r>
      <w:r>
        <w:rPr>
          <w:rFonts w:ascii="Verdana" w:hAnsi="Verdana"/>
          <w:sz w:val="18"/>
          <w:szCs w:val="18"/>
        </w:rPr>
        <w:tab/>
        <w:t>€ 610,47</w:t>
      </w:r>
      <w:r>
        <w:rPr>
          <w:rFonts w:ascii="Verdana" w:hAnsi="Verdana"/>
          <w:sz w:val="18"/>
          <w:szCs w:val="18"/>
        </w:rPr>
        <w:tab/>
        <w:t>€    951,02</w:t>
      </w:r>
      <w:r>
        <w:rPr>
          <w:rFonts w:ascii="Verdana" w:hAnsi="Verdana"/>
          <w:sz w:val="18"/>
          <w:szCs w:val="18"/>
        </w:rPr>
        <w:tab/>
        <w:t>€ 1.103,09</w:t>
      </w:r>
    </w:p>
    <w:p w:rsidR="00755AA8" w:rsidRDefault="00755AA8" w:rsidP="00755AA8">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755AA8" w:rsidRDefault="00755AA8" w:rsidP="00755AA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755AA8" w:rsidRPr="005C2F9A" w:rsidRDefault="00755AA8" w:rsidP="00755AA8">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755AA8" w:rsidRPr="005C2F9A" w:rsidRDefault="00755AA8" w:rsidP="00755AA8">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755AA8" w:rsidRPr="005C2F9A" w:rsidRDefault="00755AA8" w:rsidP="00755AA8">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755AA8" w:rsidRPr="005C2F9A" w:rsidRDefault="00755AA8" w:rsidP="00755AA8">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755AA8" w:rsidRPr="005C2F9A" w:rsidRDefault="00755AA8" w:rsidP="00755AA8">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755AA8" w:rsidRPr="005C2F9A" w:rsidRDefault="00755AA8" w:rsidP="00755AA8">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755AA8" w:rsidRDefault="00755AA8" w:rsidP="00755AA8">
      <w:pPr>
        <w:rPr>
          <w:rFonts w:ascii="Verdana" w:hAnsi="Verdana"/>
          <w:sz w:val="18"/>
          <w:szCs w:val="18"/>
        </w:rPr>
      </w:pPr>
    </w:p>
    <w:p w:rsidR="00755AA8" w:rsidRPr="00EB4110" w:rsidRDefault="00755AA8" w:rsidP="00755AA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755AA8" w:rsidRPr="00B36823" w:rsidRDefault="00755AA8" w:rsidP="00755AA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755AA8" w:rsidRPr="00B36823" w:rsidRDefault="00755AA8" w:rsidP="00755AA8">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755AA8" w:rsidRPr="00983D3E" w:rsidRDefault="00755AA8" w:rsidP="00755AA8">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755AA8" w:rsidRDefault="00755AA8" w:rsidP="00755AA8">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755AA8" w:rsidRDefault="00755AA8" w:rsidP="00755AA8">
      <w:pPr>
        <w:rPr>
          <w:rFonts w:ascii="Verdana" w:hAnsi="Verdana"/>
          <w:b/>
          <w:sz w:val="18"/>
          <w:szCs w:val="18"/>
        </w:rPr>
      </w:pPr>
    </w:p>
    <w:p w:rsidR="00821130" w:rsidRPr="00983D3E" w:rsidRDefault="00821130" w:rsidP="00DE0A35">
      <w:pPr>
        <w:rPr>
          <w:rFonts w:ascii="Verdana" w:hAnsi="Verdana"/>
          <w:b/>
          <w:sz w:val="18"/>
          <w:szCs w:val="18"/>
        </w:rPr>
      </w:pPr>
    </w:p>
    <w:p w:rsidR="00A81A7D" w:rsidRDefault="00A81A7D">
      <w:pPr>
        <w:spacing w:after="200" w:line="276" w:lineRule="auto"/>
      </w:pPr>
      <w:r>
        <w:br w:type="page"/>
      </w:r>
    </w:p>
    <w:p w:rsidR="00B017AD" w:rsidRPr="00BA5AEE" w:rsidRDefault="00B017AD" w:rsidP="00B017AD">
      <w:pPr>
        <w:pStyle w:val="Kop1"/>
        <w:numPr>
          <w:ilvl w:val="0"/>
          <w:numId w:val="0"/>
        </w:numPr>
        <w:ind w:left="432" w:hanging="432"/>
      </w:pPr>
      <w:bookmarkStart w:id="14" w:name="_Toc400809299"/>
      <w:r w:rsidRPr="00BA5AEE">
        <w:lastRenderedPageBreak/>
        <w:t>Bijlage I</w:t>
      </w:r>
      <w:r>
        <w:t>B</w:t>
      </w:r>
      <w:r w:rsidRPr="00BA5AEE">
        <w:tab/>
        <w:t xml:space="preserve">Bedragen </w:t>
      </w:r>
      <w:r>
        <w:t xml:space="preserve">bekostiging (V)SO </w:t>
      </w:r>
    </w:p>
    <w:p w:rsidR="00B017AD" w:rsidRDefault="00B017AD" w:rsidP="00B017AD"/>
    <w:p w:rsidR="00B017AD" w:rsidRPr="00983D3E" w:rsidRDefault="00B017AD" w:rsidP="00B017AD">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7</w:t>
      </w:r>
      <w:r w:rsidRPr="00983D3E">
        <w:rPr>
          <w:rFonts w:ascii="Verdana" w:hAnsi="Verdana"/>
          <w:b/>
          <w:sz w:val="18"/>
          <w:szCs w:val="18"/>
        </w:rPr>
        <w:t xml:space="preserve"> o.b.v. prijzen 201</w:t>
      </w:r>
      <w:r>
        <w:rPr>
          <w:rFonts w:ascii="Verdana" w:hAnsi="Verdana"/>
          <w:b/>
          <w:sz w:val="18"/>
          <w:szCs w:val="18"/>
        </w:rPr>
        <w:t>7</w:t>
      </w:r>
      <w:r w:rsidRPr="00983D3E">
        <w:rPr>
          <w:rFonts w:ascii="Verdana" w:hAnsi="Verdana"/>
          <w:b/>
          <w:sz w:val="18"/>
          <w:szCs w:val="18"/>
        </w:rPr>
        <w:t>-201</w:t>
      </w:r>
      <w:r>
        <w:rPr>
          <w:rFonts w:ascii="Verdana" w:hAnsi="Verdana"/>
          <w:b/>
          <w:sz w:val="18"/>
          <w:szCs w:val="18"/>
        </w:rPr>
        <w:t>8</w:t>
      </w:r>
      <w:r w:rsidRPr="00983D3E">
        <w:rPr>
          <w:rFonts w:ascii="Verdana" w:hAnsi="Verdana"/>
          <w:b/>
          <w:sz w:val="18"/>
          <w:szCs w:val="18"/>
        </w:rPr>
        <w:t xml:space="preserve"> (</w:t>
      </w:r>
      <w:r w:rsidR="00505D2C">
        <w:rPr>
          <w:rFonts w:ascii="Verdana" w:hAnsi="Verdana"/>
          <w:b/>
          <w:sz w:val="18"/>
          <w:szCs w:val="18"/>
        </w:rPr>
        <w:t>sept.</w:t>
      </w:r>
      <w:r>
        <w:rPr>
          <w:rFonts w:ascii="Verdana" w:hAnsi="Verdana"/>
          <w:b/>
          <w:sz w:val="18"/>
          <w:szCs w:val="18"/>
        </w:rPr>
        <w:t xml:space="preserve"> 2017</w:t>
      </w:r>
      <w:r w:rsidRPr="00983D3E">
        <w:rPr>
          <w:rFonts w:ascii="Verdana" w:hAnsi="Verdana"/>
          <w:b/>
          <w:sz w:val="18"/>
          <w:szCs w:val="18"/>
        </w:rPr>
        <w:t>)</w:t>
      </w:r>
    </w:p>
    <w:p w:rsidR="00B017AD" w:rsidRDefault="00B017AD" w:rsidP="00B017AD">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sidR="00505D2C">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sidR="00505D2C">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3A1519" w:rsidRDefault="00505D2C" w:rsidP="00B017AD">
      <w:pPr>
        <w:rPr>
          <w:rFonts w:ascii="Verdana" w:hAnsi="Verdana"/>
          <w:b/>
          <w:sz w:val="18"/>
          <w:szCs w:val="18"/>
        </w:rPr>
      </w:pPr>
      <w:r w:rsidRPr="00651E43">
        <w:rPr>
          <w:noProof/>
        </w:rPr>
        <w:drawing>
          <wp:inline distT="0" distB="0" distL="0" distR="0" wp14:anchorId="7594987C" wp14:editId="60AABD83">
            <wp:extent cx="5759450" cy="756203"/>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3A1519" w:rsidRDefault="003A1519" w:rsidP="00B017AD">
      <w:pPr>
        <w:rPr>
          <w:rFonts w:ascii="Verdana" w:hAnsi="Verdana"/>
          <w:b/>
          <w:sz w:val="18"/>
          <w:szCs w:val="18"/>
        </w:rPr>
      </w:pPr>
    </w:p>
    <w:p w:rsidR="00B017AD" w:rsidRPr="0023169C" w:rsidRDefault="00B017AD" w:rsidP="00B017AD">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sidR="00505D2C">
        <w:rPr>
          <w:rFonts w:ascii="Verdana" w:hAnsi="Verdana"/>
          <w:sz w:val="18"/>
          <w:szCs w:val="18"/>
        </w:rPr>
        <w:t>72,69</w:t>
      </w:r>
    </w:p>
    <w:p w:rsidR="00B017AD" w:rsidRPr="0023169C" w:rsidRDefault="00B017AD" w:rsidP="00B017AD">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w:t>
      </w:r>
      <w:r w:rsidR="003A1519">
        <w:rPr>
          <w:rFonts w:ascii="Verdana" w:hAnsi="Verdana"/>
          <w:sz w:val="18"/>
          <w:szCs w:val="18"/>
        </w:rPr>
        <w:t>7</w:t>
      </w:r>
      <w:r>
        <w:rPr>
          <w:rFonts w:ascii="Verdana" w:hAnsi="Verdana"/>
          <w:sz w:val="18"/>
          <w:szCs w:val="18"/>
        </w:rPr>
        <w:t>,</w:t>
      </w:r>
      <w:r w:rsidR="00505D2C">
        <w:rPr>
          <w:rFonts w:ascii="Verdana" w:hAnsi="Verdana"/>
          <w:sz w:val="18"/>
          <w:szCs w:val="18"/>
        </w:rPr>
        <w:t>9</w:t>
      </w:r>
      <w:r>
        <w:rPr>
          <w:rFonts w:ascii="Verdana" w:hAnsi="Verdana"/>
          <w:sz w:val="18"/>
          <w:szCs w:val="18"/>
        </w:rPr>
        <w:t>7</w:t>
      </w:r>
    </w:p>
    <w:p w:rsidR="00B017AD" w:rsidRDefault="00B017AD" w:rsidP="00B017AD">
      <w:pPr>
        <w:rPr>
          <w:rFonts w:ascii="Verdana" w:hAnsi="Verdana"/>
          <w:b/>
          <w:sz w:val="18"/>
          <w:szCs w:val="18"/>
        </w:rPr>
      </w:pPr>
      <w:r w:rsidRPr="00505D2C">
        <w:rPr>
          <w:rFonts w:ascii="Verdana" w:hAnsi="Verdana"/>
          <w:b/>
          <w:sz w:val="18"/>
          <w:szCs w:val="18"/>
        </w:rPr>
        <w:t>Directietoeslagen</w:t>
      </w:r>
    </w:p>
    <w:p w:rsidR="00505D2C" w:rsidRPr="00505D2C" w:rsidRDefault="00505D2C" w:rsidP="00B017AD">
      <w:pPr>
        <w:rPr>
          <w:rFonts w:ascii="Verdana" w:hAnsi="Verdana"/>
          <w:sz w:val="18"/>
          <w:szCs w:val="18"/>
        </w:rPr>
      </w:pPr>
      <w:r w:rsidRPr="00645C3E">
        <w:rPr>
          <w:noProof/>
        </w:rPr>
        <w:drawing>
          <wp:inline distT="0" distB="0" distL="0" distR="0" wp14:anchorId="4582A9F5" wp14:editId="40BF050E">
            <wp:extent cx="5759450" cy="3874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505D2C" w:rsidRDefault="00505D2C" w:rsidP="00B017AD">
      <w:pPr>
        <w:rPr>
          <w:rFonts w:ascii="Verdana" w:hAnsi="Verdana"/>
          <w:b/>
          <w:sz w:val="18"/>
          <w:szCs w:val="18"/>
        </w:rPr>
      </w:pPr>
    </w:p>
    <w:p w:rsidR="00B017AD" w:rsidRDefault="00B017AD" w:rsidP="00B017AD">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sidR="00E91668">
        <w:rPr>
          <w:rFonts w:ascii="Verdana" w:hAnsi="Verdana"/>
          <w:b/>
          <w:sz w:val="18"/>
          <w:szCs w:val="18"/>
        </w:rPr>
        <w:t>:</w:t>
      </w:r>
      <w:r w:rsidRPr="00983D3E">
        <w:rPr>
          <w:rFonts w:ascii="Verdana" w:hAnsi="Verdana"/>
          <w:b/>
          <w:sz w:val="18"/>
          <w:szCs w:val="18"/>
        </w:rPr>
        <w:t xml:space="preserve"> 1</w:t>
      </w:r>
      <w:r w:rsidR="003A1519">
        <w:rPr>
          <w:rFonts w:ascii="Verdana" w:hAnsi="Verdana"/>
          <w:b/>
          <w:sz w:val="18"/>
          <w:szCs w:val="18"/>
        </w:rPr>
        <w:t>7</w:t>
      </w:r>
      <w:r w:rsidRPr="00983D3E">
        <w:rPr>
          <w:rFonts w:ascii="Verdana" w:hAnsi="Verdana"/>
          <w:b/>
          <w:sz w:val="18"/>
          <w:szCs w:val="18"/>
        </w:rPr>
        <w:t>-1</w:t>
      </w:r>
      <w:r w:rsidR="003A1519">
        <w:rPr>
          <w:rFonts w:ascii="Verdana" w:hAnsi="Verdana"/>
          <w:b/>
          <w:sz w:val="18"/>
          <w:szCs w:val="18"/>
        </w:rPr>
        <w:t>8</w:t>
      </w:r>
      <w:r>
        <w:rPr>
          <w:rFonts w:ascii="Verdana" w:hAnsi="Verdana"/>
          <w:b/>
          <w:sz w:val="18"/>
          <w:szCs w:val="18"/>
        </w:rPr>
        <w:t xml:space="preserve"> (</w:t>
      </w:r>
      <w:r w:rsidR="003A1519">
        <w:rPr>
          <w:rFonts w:ascii="Verdana" w:hAnsi="Verdana"/>
          <w:b/>
          <w:sz w:val="18"/>
          <w:szCs w:val="18"/>
        </w:rPr>
        <w:t>maart 2017</w:t>
      </w:r>
      <w:r>
        <w:rPr>
          <w:rFonts w:ascii="Verdana" w:hAnsi="Verdana"/>
          <w:b/>
          <w:sz w:val="18"/>
          <w:szCs w:val="18"/>
        </w:rPr>
        <w:t>)</w:t>
      </w:r>
    </w:p>
    <w:p w:rsidR="00E91668" w:rsidRDefault="00E91668" w:rsidP="00B017AD">
      <w:pPr>
        <w:rPr>
          <w:rFonts w:ascii="Verdana" w:hAnsi="Verdana"/>
          <w:b/>
          <w:sz w:val="18"/>
          <w:szCs w:val="18"/>
        </w:rPr>
      </w:pPr>
      <w:r w:rsidRPr="00E91668">
        <w:rPr>
          <w:noProof/>
        </w:rPr>
        <w:drawing>
          <wp:inline distT="0" distB="0" distL="0" distR="0">
            <wp:extent cx="3907790" cy="6553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7790" cy="655320"/>
                    </a:xfrm>
                    <a:prstGeom prst="rect">
                      <a:avLst/>
                    </a:prstGeom>
                    <a:noFill/>
                    <a:ln>
                      <a:noFill/>
                    </a:ln>
                  </pic:spPr>
                </pic:pic>
              </a:graphicData>
            </a:graphic>
          </wp:inline>
        </w:drawing>
      </w:r>
    </w:p>
    <w:p w:rsidR="00E91668" w:rsidRDefault="00E91668" w:rsidP="00B017AD">
      <w:pPr>
        <w:rPr>
          <w:rFonts w:ascii="Verdana" w:hAnsi="Verdana"/>
          <w:b/>
          <w:sz w:val="18"/>
          <w:szCs w:val="18"/>
        </w:rPr>
      </w:pPr>
    </w:p>
    <w:p w:rsidR="00B017AD" w:rsidRPr="00983D3E" w:rsidRDefault="00B017AD" w:rsidP="00B017AD">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B017AD" w:rsidRDefault="00B017AD" w:rsidP="00B017AD">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B017AD" w:rsidRPr="005C2F9A" w:rsidRDefault="00B017AD" w:rsidP="00B017AD">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B017AD" w:rsidRPr="005C2F9A" w:rsidRDefault="00B017AD" w:rsidP="00B017AD">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B017AD" w:rsidRPr="005C2F9A" w:rsidRDefault="00B017AD" w:rsidP="00B017AD">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B017AD" w:rsidRPr="005C2F9A" w:rsidRDefault="00B017AD" w:rsidP="00B017AD">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B017AD" w:rsidRPr="005C2F9A" w:rsidRDefault="00B017AD" w:rsidP="00B017AD">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B017AD" w:rsidRPr="005C2F9A" w:rsidRDefault="00B017AD" w:rsidP="00B017AD">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B017AD" w:rsidRDefault="00B017AD" w:rsidP="00B017AD">
      <w:pPr>
        <w:rPr>
          <w:rFonts w:ascii="Verdana" w:hAnsi="Verdana"/>
          <w:sz w:val="18"/>
          <w:szCs w:val="18"/>
        </w:rPr>
      </w:pPr>
    </w:p>
    <w:p w:rsidR="00B017AD" w:rsidRPr="00EB4110" w:rsidRDefault="00B017AD" w:rsidP="00B017AD">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B017AD" w:rsidRPr="00B36823" w:rsidRDefault="00B017AD" w:rsidP="00B017AD">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B017AD" w:rsidRPr="00B36823" w:rsidRDefault="00B017AD" w:rsidP="00B017AD">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B017AD" w:rsidRPr="00983D3E" w:rsidRDefault="00B017AD" w:rsidP="00B017AD">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B017AD" w:rsidRDefault="00B017AD" w:rsidP="00B017AD">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B017AD" w:rsidRDefault="00B017AD" w:rsidP="00B017AD">
      <w:pPr>
        <w:rPr>
          <w:rFonts w:ascii="Verdana" w:hAnsi="Verdana"/>
          <w:b/>
          <w:sz w:val="18"/>
          <w:szCs w:val="18"/>
        </w:rPr>
      </w:pPr>
    </w:p>
    <w:p w:rsidR="00E91668" w:rsidRPr="00983D3E" w:rsidRDefault="00E91668" w:rsidP="00E9166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r w:rsidRPr="00983D3E">
        <w:rPr>
          <w:rFonts w:ascii="Verdana" w:hAnsi="Verdana"/>
          <w:b/>
          <w:sz w:val="18"/>
          <w:szCs w:val="18"/>
        </w:rPr>
        <w:t xml:space="preserve"> </w:t>
      </w:r>
    </w:p>
    <w:bookmarkEnd w:id="14"/>
    <w:p w:rsidR="00505D2C" w:rsidRDefault="00505D2C" w:rsidP="00505D2C">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505D2C" w:rsidRPr="005C2F9A" w:rsidRDefault="00505D2C" w:rsidP="00505D2C">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505D2C" w:rsidRPr="005C2F9A" w:rsidRDefault="00505D2C" w:rsidP="00505D2C">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505D2C" w:rsidRPr="005C2F9A" w:rsidRDefault="00505D2C" w:rsidP="00505D2C">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505D2C" w:rsidRPr="005C2F9A" w:rsidRDefault="00505D2C" w:rsidP="00505D2C">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505D2C" w:rsidRPr="005C2F9A" w:rsidRDefault="00505D2C" w:rsidP="00505D2C">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505D2C" w:rsidRPr="005C2F9A" w:rsidRDefault="00505D2C" w:rsidP="00505D2C">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505D2C" w:rsidRDefault="00505D2C" w:rsidP="00505D2C">
      <w:pPr>
        <w:rPr>
          <w:rFonts w:ascii="Verdana" w:hAnsi="Verdana"/>
          <w:sz w:val="18"/>
          <w:szCs w:val="18"/>
        </w:rPr>
      </w:pPr>
    </w:p>
    <w:p w:rsidR="00505D2C" w:rsidRPr="00EB4110" w:rsidRDefault="00505D2C" w:rsidP="00505D2C">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 xml:space="preserve">Basisbekostiging      </w:t>
      </w:r>
      <w:r w:rsidRPr="00EB4110">
        <w:rPr>
          <w:rFonts w:ascii="Verdana" w:hAnsi="Verdana"/>
          <w:b/>
          <w:sz w:val="18"/>
          <w:szCs w:val="18"/>
        </w:rPr>
        <w:t>Ondersteuningsbekostiging</w:t>
      </w:r>
    </w:p>
    <w:p w:rsidR="00505D2C" w:rsidRPr="00B36823" w:rsidRDefault="00505D2C" w:rsidP="00505D2C">
      <w:pPr>
        <w:rPr>
          <w:rFonts w:ascii="Verdana" w:hAnsi="Verdana"/>
          <w:sz w:val="18"/>
          <w:szCs w:val="18"/>
        </w:rPr>
      </w:pPr>
      <w:r w:rsidRPr="00ED6C1E">
        <w:rPr>
          <w:noProof/>
        </w:rPr>
        <w:drawing>
          <wp:inline distT="0" distB="0" distL="0" distR="0" wp14:anchorId="29C2AC0E" wp14:editId="2C4F6017">
            <wp:extent cx="5476875" cy="63246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9880" cy="632807"/>
                    </a:xfrm>
                    <a:prstGeom prst="rect">
                      <a:avLst/>
                    </a:prstGeom>
                    <a:noFill/>
                    <a:ln>
                      <a:noFill/>
                    </a:ln>
                  </pic:spPr>
                </pic:pic>
              </a:graphicData>
            </a:graphic>
          </wp:inline>
        </w:drawing>
      </w:r>
    </w:p>
    <w:p w:rsidR="00B017AD" w:rsidRDefault="00B017AD" w:rsidP="00D6379C">
      <w:pPr>
        <w:pStyle w:val="Kop2"/>
        <w:numPr>
          <w:ilvl w:val="0"/>
          <w:numId w:val="0"/>
        </w:numPr>
      </w:pPr>
    </w:p>
    <w:sectPr w:rsidR="00B017AD" w:rsidSect="00CA0054">
      <w:footerReference w:type="default" r:id="rId17"/>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E9" w:rsidRDefault="006240E9" w:rsidP="00CC2EC0">
      <w:r>
        <w:separator/>
      </w:r>
    </w:p>
  </w:endnote>
  <w:endnote w:type="continuationSeparator" w:id="0">
    <w:p w:rsidR="006240E9" w:rsidRDefault="006240E9"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Univers"/>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96317"/>
      <w:docPartObj>
        <w:docPartGallery w:val="Page Numbers (Bottom of Page)"/>
        <w:docPartUnique/>
      </w:docPartObj>
    </w:sdtPr>
    <w:sdtContent>
      <w:p w:rsidR="00003187" w:rsidRDefault="00003187">
        <w:pPr>
          <w:pStyle w:val="Voettekst"/>
          <w:jc w:val="right"/>
        </w:pPr>
        <w:r>
          <w:t>Bekostiging (V)SO onder passend onderwijs oktober2017 (beknopt)</w:t>
        </w:r>
        <w:r>
          <w:tab/>
        </w:r>
        <w:r>
          <w:fldChar w:fldCharType="begin"/>
        </w:r>
        <w:r>
          <w:instrText>PAGE   \* MERGEFORMAT</w:instrText>
        </w:r>
        <w:r>
          <w:fldChar w:fldCharType="separate"/>
        </w:r>
        <w:r w:rsidR="000924EE">
          <w:rPr>
            <w:noProof/>
          </w:rPr>
          <w:t>1</w:t>
        </w:r>
        <w:r>
          <w:fldChar w:fldCharType="end"/>
        </w:r>
      </w:p>
    </w:sdtContent>
  </w:sdt>
  <w:p w:rsidR="00A87E6B" w:rsidRDefault="00A87E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E9" w:rsidRDefault="006240E9" w:rsidP="00CC2EC0">
      <w:r>
        <w:separator/>
      </w:r>
    </w:p>
  </w:footnote>
  <w:footnote w:type="continuationSeparator" w:id="0">
    <w:p w:rsidR="006240E9" w:rsidRDefault="006240E9"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basisbekostiging en de materiële bekostiging is </w:t>
      </w:r>
      <w:r w:rsidR="00844A1F">
        <w:t xml:space="preserve">nog </w:t>
      </w:r>
      <w:r>
        <w:t xml:space="preserve">niet verplichtend opgenomen in de wet, maar het dringende advies is om </w:t>
      </w:r>
      <w:r w:rsidR="00844A1F">
        <w:t>alvast</w:t>
      </w:r>
      <w:r>
        <w:t xml:space="preserve"> wel te bekostigen. De overdrachtsverplichting van de basisbekostiging is wel verplicht voor het SBO en er is geen reden om het hier voor het (V)SO achterwege te lat</w:t>
      </w:r>
      <w:r w:rsidR="00844A1F">
        <w:t>en. Inmiddels is een wetsvoorstel naar de Tweede Kamer gestuurd (TK 34732, 31 mei 2017) waarin de overdracht van ook de basisbekostiging wordt vastgelegd. In de MvT is opgenomen dat dit geldt voor de personele èn materiële bekostiging maar de uitwerking voor de materiële bekostiging is (nog) niet in de tekst van het wetsvoorstel opgenomen.</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rsidR="00A87E6B" w:rsidRPr="00BD7B38" w:rsidRDefault="00A87E6B"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De regeling van deze toelaatbaarheid </w:t>
      </w:r>
      <w:r>
        <w:rPr>
          <w:rFonts w:asciiTheme="minorHAnsi" w:hAnsiTheme="minorHAnsi"/>
        </w:rPr>
        <w:t>laat</w:t>
      </w:r>
      <w:r w:rsidRPr="00BD7B38">
        <w:rPr>
          <w:rFonts w:asciiTheme="minorHAnsi" w:hAnsiTheme="minorHAnsi"/>
        </w:rPr>
        <w:t xml:space="preserve"> 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r>
        <w:rPr>
          <w:rFonts w:asciiTheme="minorHAnsi" w:hAnsiTheme="minorHAnsi"/>
        </w:rPr>
        <w:t xml:space="preserve"> hiermee buiten beschouwing</w:t>
      </w:r>
      <w:r w:rsidRPr="00BD7B38">
        <w:rPr>
          <w:rFonts w:asciiTheme="minorHAnsi" w:hAnsiTheme="minorHAnsi"/>
        </w:rPr>
        <w:t>.</w:t>
      </w:r>
    </w:p>
  </w:footnote>
  <w:footnote w:id="10">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in feite qua bedrag omvangrijker dan de basisbekostiging, ook niet meer werkt met de leeftijdsafhankelijke bekostiging. Daarbij is ook met de landelijke GPL gewerkt.</w:t>
      </w:r>
    </w:p>
  </w:footnote>
  <w:footnote w:id="11">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rsidR="00A87E6B" w:rsidRDefault="00A87E6B" w:rsidP="00CC2EC0">
      <w:pPr>
        <w:pStyle w:val="Voetnoottekst"/>
      </w:pPr>
      <w:r>
        <w:rPr>
          <w:rStyle w:val="Voetnootmarkering"/>
        </w:rPr>
        <w:footnoteRef/>
      </w:r>
      <w:r>
        <w:t xml:space="preserve"> Omdat er geen of vrijwel geen groei van het aantal leerlingen ((V)SO en/of rugzakleerlingen) op 1 oktober 2013 t.o.v. 1 oktober 2011 was, is het niet nodig gebleken een correctie in de normatieve bekostiging door te voeren om te zorgen voor het gelijk blijven van het totale beschikbare budget. </w:t>
      </w:r>
    </w:p>
  </w:footnote>
  <w:footnote w:id="13">
    <w:p w:rsidR="004B369C" w:rsidRDefault="004B369C">
      <w:pPr>
        <w:pStyle w:val="Voetnoottekst"/>
      </w:pPr>
      <w:r>
        <w:rPr>
          <w:rStyle w:val="Voetnootmarkering"/>
        </w:rPr>
        <w:footnoteRef/>
      </w:r>
      <w:r>
        <w:t xml:space="preserve"> Zie voetnoot 6.</w:t>
      </w:r>
    </w:p>
  </w:footnote>
  <w:footnote w:id="14">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6363"/>
    <w:rsid w:val="00077F48"/>
    <w:rsid w:val="00081569"/>
    <w:rsid w:val="000924EE"/>
    <w:rsid w:val="000A2A1B"/>
    <w:rsid w:val="000A6513"/>
    <w:rsid w:val="000A7672"/>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549D"/>
    <w:rsid w:val="001071A4"/>
    <w:rsid w:val="00117C1B"/>
    <w:rsid w:val="001342A5"/>
    <w:rsid w:val="001343F2"/>
    <w:rsid w:val="00137A7C"/>
    <w:rsid w:val="00144492"/>
    <w:rsid w:val="001543D3"/>
    <w:rsid w:val="00155105"/>
    <w:rsid w:val="0015535E"/>
    <w:rsid w:val="001563CF"/>
    <w:rsid w:val="00156B99"/>
    <w:rsid w:val="00156E5C"/>
    <w:rsid w:val="00166C3C"/>
    <w:rsid w:val="00190A68"/>
    <w:rsid w:val="00190D72"/>
    <w:rsid w:val="0019432C"/>
    <w:rsid w:val="001A38C6"/>
    <w:rsid w:val="001B3229"/>
    <w:rsid w:val="001B544B"/>
    <w:rsid w:val="001D4533"/>
    <w:rsid w:val="001D4ECD"/>
    <w:rsid w:val="001D718F"/>
    <w:rsid w:val="001E7EC0"/>
    <w:rsid w:val="001F0FAD"/>
    <w:rsid w:val="001F6A1D"/>
    <w:rsid w:val="001F7F69"/>
    <w:rsid w:val="00206D4E"/>
    <w:rsid w:val="00211783"/>
    <w:rsid w:val="00217B7B"/>
    <w:rsid w:val="00225009"/>
    <w:rsid w:val="00227575"/>
    <w:rsid w:val="0024460F"/>
    <w:rsid w:val="00251D1D"/>
    <w:rsid w:val="00264B79"/>
    <w:rsid w:val="0027078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493C"/>
    <w:rsid w:val="00385C08"/>
    <w:rsid w:val="0038690E"/>
    <w:rsid w:val="00395F55"/>
    <w:rsid w:val="00396998"/>
    <w:rsid w:val="003A051F"/>
    <w:rsid w:val="003A1519"/>
    <w:rsid w:val="003A5ABF"/>
    <w:rsid w:val="003B2793"/>
    <w:rsid w:val="003C33F3"/>
    <w:rsid w:val="003C5F1A"/>
    <w:rsid w:val="003C6CD8"/>
    <w:rsid w:val="003E7189"/>
    <w:rsid w:val="003E7F1D"/>
    <w:rsid w:val="003F519B"/>
    <w:rsid w:val="00416D3A"/>
    <w:rsid w:val="004209B1"/>
    <w:rsid w:val="00424E58"/>
    <w:rsid w:val="00427A4A"/>
    <w:rsid w:val="004310C5"/>
    <w:rsid w:val="00445CF7"/>
    <w:rsid w:val="0045085A"/>
    <w:rsid w:val="004550CA"/>
    <w:rsid w:val="00455DF2"/>
    <w:rsid w:val="00460AD0"/>
    <w:rsid w:val="004645C2"/>
    <w:rsid w:val="00486468"/>
    <w:rsid w:val="004A08E0"/>
    <w:rsid w:val="004A29AE"/>
    <w:rsid w:val="004B2E27"/>
    <w:rsid w:val="004B369C"/>
    <w:rsid w:val="004B4197"/>
    <w:rsid w:val="004B6418"/>
    <w:rsid w:val="004B683B"/>
    <w:rsid w:val="004B7D96"/>
    <w:rsid w:val="004C021D"/>
    <w:rsid w:val="004C3247"/>
    <w:rsid w:val="004D2B05"/>
    <w:rsid w:val="004E05B1"/>
    <w:rsid w:val="004F518C"/>
    <w:rsid w:val="004F5818"/>
    <w:rsid w:val="00505D2C"/>
    <w:rsid w:val="00507DDE"/>
    <w:rsid w:val="005123D8"/>
    <w:rsid w:val="00532847"/>
    <w:rsid w:val="00542E05"/>
    <w:rsid w:val="00551A7D"/>
    <w:rsid w:val="00551DE1"/>
    <w:rsid w:val="00555709"/>
    <w:rsid w:val="00556097"/>
    <w:rsid w:val="00574CBA"/>
    <w:rsid w:val="005807AE"/>
    <w:rsid w:val="005843DE"/>
    <w:rsid w:val="00592EDE"/>
    <w:rsid w:val="005965D2"/>
    <w:rsid w:val="00596709"/>
    <w:rsid w:val="0059733F"/>
    <w:rsid w:val="005A5358"/>
    <w:rsid w:val="005B23A5"/>
    <w:rsid w:val="005B3B87"/>
    <w:rsid w:val="005C70EB"/>
    <w:rsid w:val="005D3E5B"/>
    <w:rsid w:val="005E3D7C"/>
    <w:rsid w:val="005E4759"/>
    <w:rsid w:val="005F0E9D"/>
    <w:rsid w:val="005F4706"/>
    <w:rsid w:val="005F69E9"/>
    <w:rsid w:val="00604D55"/>
    <w:rsid w:val="006070C2"/>
    <w:rsid w:val="00621E4C"/>
    <w:rsid w:val="006240E9"/>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587B"/>
    <w:rsid w:val="006D0E58"/>
    <w:rsid w:val="006E3861"/>
    <w:rsid w:val="006E5274"/>
    <w:rsid w:val="006E7572"/>
    <w:rsid w:val="006F2E3B"/>
    <w:rsid w:val="007120A5"/>
    <w:rsid w:val="00717F90"/>
    <w:rsid w:val="00726959"/>
    <w:rsid w:val="00736BFF"/>
    <w:rsid w:val="00741819"/>
    <w:rsid w:val="00752A97"/>
    <w:rsid w:val="0075584E"/>
    <w:rsid w:val="00755AA8"/>
    <w:rsid w:val="007577CB"/>
    <w:rsid w:val="00760240"/>
    <w:rsid w:val="00761F7C"/>
    <w:rsid w:val="007717BA"/>
    <w:rsid w:val="007721B0"/>
    <w:rsid w:val="00775387"/>
    <w:rsid w:val="00782161"/>
    <w:rsid w:val="00782508"/>
    <w:rsid w:val="00783006"/>
    <w:rsid w:val="00793D38"/>
    <w:rsid w:val="007B0321"/>
    <w:rsid w:val="007B52AB"/>
    <w:rsid w:val="007B684A"/>
    <w:rsid w:val="007C1923"/>
    <w:rsid w:val="007C3A15"/>
    <w:rsid w:val="007C68C4"/>
    <w:rsid w:val="007D1D69"/>
    <w:rsid w:val="007E7E12"/>
    <w:rsid w:val="007F0867"/>
    <w:rsid w:val="0080406E"/>
    <w:rsid w:val="00805EF9"/>
    <w:rsid w:val="008121DB"/>
    <w:rsid w:val="00821130"/>
    <w:rsid w:val="00830107"/>
    <w:rsid w:val="0083191C"/>
    <w:rsid w:val="00837E26"/>
    <w:rsid w:val="00844A1F"/>
    <w:rsid w:val="00845C99"/>
    <w:rsid w:val="008559E1"/>
    <w:rsid w:val="0085713C"/>
    <w:rsid w:val="0087720F"/>
    <w:rsid w:val="008918D9"/>
    <w:rsid w:val="008A161B"/>
    <w:rsid w:val="008A4172"/>
    <w:rsid w:val="008B6EF2"/>
    <w:rsid w:val="008C199A"/>
    <w:rsid w:val="008D305E"/>
    <w:rsid w:val="008D3B4E"/>
    <w:rsid w:val="008D5C42"/>
    <w:rsid w:val="008E302B"/>
    <w:rsid w:val="008F3965"/>
    <w:rsid w:val="008F6F62"/>
    <w:rsid w:val="008F77CA"/>
    <w:rsid w:val="00901FB5"/>
    <w:rsid w:val="00903541"/>
    <w:rsid w:val="009042D9"/>
    <w:rsid w:val="009132EB"/>
    <w:rsid w:val="00913D6C"/>
    <w:rsid w:val="00913ED7"/>
    <w:rsid w:val="00920C2F"/>
    <w:rsid w:val="00923E54"/>
    <w:rsid w:val="009262E4"/>
    <w:rsid w:val="009302F3"/>
    <w:rsid w:val="00934E6C"/>
    <w:rsid w:val="0093742A"/>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6D7E"/>
    <w:rsid w:val="00A11542"/>
    <w:rsid w:val="00A25803"/>
    <w:rsid w:val="00A2592D"/>
    <w:rsid w:val="00A2754D"/>
    <w:rsid w:val="00A359DD"/>
    <w:rsid w:val="00A3735E"/>
    <w:rsid w:val="00A37598"/>
    <w:rsid w:val="00A44CE3"/>
    <w:rsid w:val="00A452FB"/>
    <w:rsid w:val="00A462DC"/>
    <w:rsid w:val="00A4764A"/>
    <w:rsid w:val="00A7001B"/>
    <w:rsid w:val="00A72C62"/>
    <w:rsid w:val="00A744F9"/>
    <w:rsid w:val="00A75755"/>
    <w:rsid w:val="00A76CED"/>
    <w:rsid w:val="00A80A7F"/>
    <w:rsid w:val="00A81A7D"/>
    <w:rsid w:val="00A8330B"/>
    <w:rsid w:val="00A87E6B"/>
    <w:rsid w:val="00A95557"/>
    <w:rsid w:val="00A97F48"/>
    <w:rsid w:val="00AA6939"/>
    <w:rsid w:val="00AB3D3C"/>
    <w:rsid w:val="00AB68DC"/>
    <w:rsid w:val="00AF49E9"/>
    <w:rsid w:val="00B00124"/>
    <w:rsid w:val="00B00934"/>
    <w:rsid w:val="00B017AD"/>
    <w:rsid w:val="00B02C86"/>
    <w:rsid w:val="00B0517A"/>
    <w:rsid w:val="00B0649F"/>
    <w:rsid w:val="00B14C9A"/>
    <w:rsid w:val="00B16F52"/>
    <w:rsid w:val="00B25151"/>
    <w:rsid w:val="00B25726"/>
    <w:rsid w:val="00B27907"/>
    <w:rsid w:val="00B359F3"/>
    <w:rsid w:val="00B42239"/>
    <w:rsid w:val="00B42E8B"/>
    <w:rsid w:val="00B437C0"/>
    <w:rsid w:val="00B47A3C"/>
    <w:rsid w:val="00B52E83"/>
    <w:rsid w:val="00B56C8A"/>
    <w:rsid w:val="00B67646"/>
    <w:rsid w:val="00B77C87"/>
    <w:rsid w:val="00B8468B"/>
    <w:rsid w:val="00BA3ACD"/>
    <w:rsid w:val="00BA5AEE"/>
    <w:rsid w:val="00BA674A"/>
    <w:rsid w:val="00BB3714"/>
    <w:rsid w:val="00BC1411"/>
    <w:rsid w:val="00BC294F"/>
    <w:rsid w:val="00BC625C"/>
    <w:rsid w:val="00BC6997"/>
    <w:rsid w:val="00BD3A99"/>
    <w:rsid w:val="00BD4091"/>
    <w:rsid w:val="00BD4F4B"/>
    <w:rsid w:val="00BD774A"/>
    <w:rsid w:val="00BE0B43"/>
    <w:rsid w:val="00C12C48"/>
    <w:rsid w:val="00C142B4"/>
    <w:rsid w:val="00C21AEC"/>
    <w:rsid w:val="00C27B12"/>
    <w:rsid w:val="00C30E83"/>
    <w:rsid w:val="00C32C89"/>
    <w:rsid w:val="00C34455"/>
    <w:rsid w:val="00C5427B"/>
    <w:rsid w:val="00C545EA"/>
    <w:rsid w:val="00C54722"/>
    <w:rsid w:val="00C66135"/>
    <w:rsid w:val="00C67F5F"/>
    <w:rsid w:val="00C87650"/>
    <w:rsid w:val="00C94FB5"/>
    <w:rsid w:val="00C9609D"/>
    <w:rsid w:val="00CA0054"/>
    <w:rsid w:val="00CA72CF"/>
    <w:rsid w:val="00CB639C"/>
    <w:rsid w:val="00CB74D4"/>
    <w:rsid w:val="00CC2EC0"/>
    <w:rsid w:val="00CD5EE8"/>
    <w:rsid w:val="00CE1258"/>
    <w:rsid w:val="00CE448B"/>
    <w:rsid w:val="00CE6235"/>
    <w:rsid w:val="00CE67B6"/>
    <w:rsid w:val="00CF02EA"/>
    <w:rsid w:val="00D00C7B"/>
    <w:rsid w:val="00D048F5"/>
    <w:rsid w:val="00D06145"/>
    <w:rsid w:val="00D1235A"/>
    <w:rsid w:val="00D20702"/>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343D"/>
    <w:rsid w:val="00DF432B"/>
    <w:rsid w:val="00DF5E1A"/>
    <w:rsid w:val="00E03EBE"/>
    <w:rsid w:val="00E31161"/>
    <w:rsid w:val="00E321BB"/>
    <w:rsid w:val="00E3251A"/>
    <w:rsid w:val="00E335F9"/>
    <w:rsid w:val="00E51FD6"/>
    <w:rsid w:val="00E6106D"/>
    <w:rsid w:val="00E64B74"/>
    <w:rsid w:val="00E755B1"/>
    <w:rsid w:val="00E832E1"/>
    <w:rsid w:val="00E91668"/>
    <w:rsid w:val="00E9411E"/>
    <w:rsid w:val="00EA0528"/>
    <w:rsid w:val="00EA4BAD"/>
    <w:rsid w:val="00EA5226"/>
    <w:rsid w:val="00EA639E"/>
    <w:rsid w:val="00EA6B14"/>
    <w:rsid w:val="00EC3CEB"/>
    <w:rsid w:val="00EC7248"/>
    <w:rsid w:val="00ED6AC9"/>
    <w:rsid w:val="00EE47B6"/>
    <w:rsid w:val="00EE73B9"/>
    <w:rsid w:val="00EF2B33"/>
    <w:rsid w:val="00EF2BB3"/>
    <w:rsid w:val="00EF2E37"/>
    <w:rsid w:val="00F022A1"/>
    <w:rsid w:val="00F046B3"/>
    <w:rsid w:val="00F066E8"/>
    <w:rsid w:val="00F07E8E"/>
    <w:rsid w:val="00F11C9E"/>
    <w:rsid w:val="00F22BE1"/>
    <w:rsid w:val="00F31123"/>
    <w:rsid w:val="00F31ECD"/>
    <w:rsid w:val="00F32360"/>
    <w:rsid w:val="00F337C3"/>
    <w:rsid w:val="00F3651D"/>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246A"/>
    <w:rsid w:val="00F84D4E"/>
    <w:rsid w:val="00F857F0"/>
    <w:rsid w:val="00F86A43"/>
    <w:rsid w:val="00F9095C"/>
    <w:rsid w:val="00F9128C"/>
    <w:rsid w:val="00F93143"/>
    <w:rsid w:val="00F95321"/>
    <w:rsid w:val="00F9689C"/>
    <w:rsid w:val="00FA046A"/>
    <w:rsid w:val="00FA13F7"/>
    <w:rsid w:val="00FA30A6"/>
    <w:rsid w:val="00FA4DCC"/>
    <w:rsid w:val="00FC4DF5"/>
    <w:rsid w:val="00FC6F18"/>
    <w:rsid w:val="00FD2174"/>
    <w:rsid w:val="00FD2479"/>
    <w:rsid w:val="00FD675B"/>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297F-C107-478E-A160-FA4F84EC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8245</Words>
  <Characters>45350</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5</cp:revision>
  <cp:lastPrinted>2017-09-28T21:12:00Z</cp:lastPrinted>
  <dcterms:created xsi:type="dcterms:W3CDTF">2017-09-28T20:20:00Z</dcterms:created>
  <dcterms:modified xsi:type="dcterms:W3CDTF">2017-09-28T21:53:00Z</dcterms:modified>
</cp:coreProperties>
</file>