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rsidR="00CA0756" w:rsidRPr="004D730A" w:rsidRDefault="005F6DEA" w:rsidP="004D730A">
      <w:pPr>
        <w:jc w:val="center"/>
        <w:rPr>
          <w:rFonts w:ascii="Verdana" w:hAnsi="Verdana"/>
          <w:b/>
          <w:color w:val="000000"/>
          <w:sz w:val="36"/>
          <w:szCs w:val="36"/>
          <w:lang w:eastAsia="en-US"/>
        </w:rPr>
      </w:pPr>
      <w:r w:rsidRPr="004D730A">
        <w:rPr>
          <w:rFonts w:ascii="Verdana" w:hAnsi="Verdana"/>
          <w:b/>
          <w:sz w:val="36"/>
          <w:szCs w:val="36"/>
        </w:rPr>
        <w:t xml:space="preserve">passend onderwijs </w:t>
      </w:r>
      <w:r w:rsidR="00326599" w:rsidRPr="004D730A">
        <w:rPr>
          <w:rFonts w:ascii="Verdana" w:hAnsi="Verdana"/>
          <w:b/>
          <w:sz w:val="36"/>
          <w:szCs w:val="36"/>
        </w:rPr>
        <w:t>V</w:t>
      </w:r>
      <w:r w:rsidRPr="004D730A">
        <w:rPr>
          <w:rFonts w:ascii="Verdana" w:hAnsi="Verdana"/>
          <w:b/>
          <w:sz w:val="36"/>
          <w:szCs w:val="36"/>
        </w:rPr>
        <w:t>O</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A02B58">
        <w:rPr>
          <w:rFonts w:ascii="Verdana" w:hAnsi="Verdana" w:cs="Arial"/>
          <w:sz w:val="20"/>
          <w:szCs w:val="20"/>
        </w:rPr>
        <w:t>september</w:t>
      </w:r>
      <w:r w:rsidR="0039658C">
        <w:rPr>
          <w:rFonts w:ascii="Verdana" w:hAnsi="Verdana" w:cs="Arial"/>
          <w:sz w:val="20"/>
          <w:szCs w:val="20"/>
        </w:rPr>
        <w:t xml:space="preserve"> 201</w:t>
      </w:r>
      <w:r w:rsidR="004D730A">
        <w:rPr>
          <w:rFonts w:ascii="Verdana" w:hAnsi="Verdana" w:cs="Arial"/>
          <w:sz w:val="20"/>
          <w:szCs w:val="20"/>
        </w:rPr>
        <w:t>8</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185825"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642211">
        <w:rPr>
          <w:rFonts w:ascii="Verdana" w:hAnsi="Verdana"/>
          <w:b/>
          <w:color w:val="000000"/>
          <w:lang w:eastAsia="en-US"/>
        </w:rPr>
        <w:t>10</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167AF9" w:rsidRDefault="00167AF9" w:rsidP="00A366FF">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2017-2018 en 201</w:t>
      </w:r>
      <w:r w:rsidR="0031723F">
        <w:rPr>
          <w:rFonts w:ascii="Verdana" w:hAnsi="Verdana"/>
          <w:b/>
        </w:rPr>
        <w:t>8</w:t>
      </w:r>
      <w:r>
        <w:rPr>
          <w:rFonts w:ascii="Verdana" w:hAnsi="Verdana"/>
          <w:b/>
        </w:rPr>
        <w:tab/>
      </w:r>
      <w:r>
        <w:rPr>
          <w:rFonts w:ascii="Verdana" w:hAnsi="Verdana"/>
          <w:b/>
        </w:rPr>
        <w:tab/>
      </w:r>
      <w:r w:rsidR="00642211">
        <w:rPr>
          <w:rFonts w:ascii="Verdana" w:hAnsi="Verdana"/>
          <w:b/>
        </w:rPr>
        <w:t>1</w:t>
      </w:r>
      <w:r w:rsidR="00167AF9">
        <w:rPr>
          <w:rFonts w:ascii="Verdana" w:hAnsi="Verdana"/>
          <w:b/>
        </w:rPr>
        <w:t>4</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Pr>
          <w:rFonts w:ascii="Verdana" w:hAnsi="Verdana"/>
          <w:b/>
        </w:rPr>
        <w:t xml:space="preserve"> Bedragen zware ondersteuning 2017-</w:t>
      </w:r>
      <w:r w:rsidR="00167AF9">
        <w:rPr>
          <w:rFonts w:ascii="Verdana" w:hAnsi="Verdana"/>
          <w:b/>
        </w:rPr>
        <w:t>20</w:t>
      </w:r>
      <w:r>
        <w:rPr>
          <w:rFonts w:ascii="Verdana" w:hAnsi="Verdana"/>
          <w:b/>
        </w:rPr>
        <w:t>18 en 201</w:t>
      </w:r>
      <w:r w:rsidR="0031723F">
        <w:rPr>
          <w:rFonts w:ascii="Verdana" w:hAnsi="Verdana"/>
          <w:b/>
        </w:rPr>
        <w:t>8</w:t>
      </w:r>
      <w:r w:rsidR="006D2338">
        <w:rPr>
          <w:rFonts w:ascii="Verdana" w:hAnsi="Verdana"/>
          <w:b/>
        </w:rPr>
        <w:tab/>
      </w:r>
      <w:r>
        <w:rPr>
          <w:rFonts w:ascii="Verdana" w:hAnsi="Verdana"/>
          <w:b/>
        </w:rPr>
        <w:tab/>
        <w:t>1</w:t>
      </w:r>
      <w:r w:rsidR="00167AF9">
        <w:rPr>
          <w:rFonts w:ascii="Verdana" w:hAnsi="Verdana"/>
          <w:b/>
        </w:rPr>
        <w:t>4</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E164DB">
        <w:rPr>
          <w:rFonts w:ascii="Verdana" w:hAnsi="Verdana"/>
          <w:sz w:val="20"/>
          <w:szCs w:val="20"/>
        </w:rPr>
        <w:t>vind nu</w:t>
      </w:r>
      <w:r w:rsidR="001325F8">
        <w:rPr>
          <w:rFonts w:ascii="Verdana" w:hAnsi="Verdana"/>
          <w:sz w:val="20"/>
          <w:szCs w:val="20"/>
        </w:rPr>
        <w:t xml:space="preserve"> </w:t>
      </w:r>
      <w:r w:rsidR="00064F17">
        <w:rPr>
          <w:rFonts w:ascii="Verdana" w:hAnsi="Verdana"/>
          <w:sz w:val="20"/>
          <w:szCs w:val="20"/>
        </w:rPr>
        <w:t>plaats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4D730A">
        <w:rPr>
          <w:rFonts w:ascii="Verdana" w:hAnsi="Verdana"/>
          <w:sz w:val="20"/>
          <w:szCs w:val="20"/>
        </w:rPr>
        <w:t>geldt</w:t>
      </w:r>
      <w:r w:rsidR="002F0F12">
        <w:rPr>
          <w:rFonts w:ascii="Verdana" w:hAnsi="Verdana"/>
          <w:sz w:val="20"/>
          <w:szCs w:val="20"/>
        </w:rPr>
        <w:t xml:space="preserve">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t>
      </w:r>
      <w:r w:rsidR="00E164DB">
        <w:rPr>
          <w:rFonts w:ascii="Verdana" w:hAnsi="Verdana"/>
          <w:sz w:val="20"/>
          <w:szCs w:val="20"/>
        </w:rPr>
        <w:t xml:space="preserve">veranderde </w:t>
      </w:r>
      <w:r w:rsidR="00556039">
        <w:rPr>
          <w:rFonts w:ascii="Verdana" w:hAnsi="Verdana"/>
          <w:sz w:val="20"/>
          <w:szCs w:val="20"/>
        </w:rPr>
        <w:t xml:space="preserve">de bekostiging van de lichte ondersteuning </w:t>
      </w:r>
      <w:r w:rsidR="002F0F12">
        <w:rPr>
          <w:rFonts w:ascii="Verdana" w:hAnsi="Verdana"/>
          <w:sz w:val="20"/>
          <w:szCs w:val="20"/>
        </w:rPr>
        <w:t xml:space="preserve">wederom </w:t>
      </w:r>
      <w:r w:rsidR="00556039">
        <w:rPr>
          <w:rFonts w:ascii="Verdana" w:hAnsi="Verdana"/>
          <w:sz w:val="20"/>
          <w:szCs w:val="20"/>
        </w:rPr>
        <w:t xml:space="preserve">ingrijpend </w:t>
      </w:r>
      <w:r w:rsidR="00137584">
        <w:rPr>
          <w:rFonts w:ascii="Verdana" w:hAnsi="Verdana"/>
          <w:sz w:val="20"/>
          <w:szCs w:val="20"/>
        </w:rPr>
        <w:t>per 1 jan. 2016</w:t>
      </w:r>
      <w:r w:rsidR="00556039">
        <w:rPr>
          <w:rFonts w:ascii="Verdana" w:hAnsi="Verdana"/>
          <w:sz w:val="20"/>
          <w:szCs w:val="20"/>
        </w:rPr>
        <w:t>.</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 xml:space="preserve">Regeling regio-indeling samenwerkingsverbanden passend onderwijs PO en VO, laatstelijk gewijzigd bij </w:t>
      </w:r>
      <w:proofErr w:type="spellStart"/>
      <w:r w:rsidR="0093634F">
        <w:rPr>
          <w:rFonts w:ascii="Verdana" w:hAnsi="Verdana"/>
          <w:sz w:val="20"/>
          <w:szCs w:val="20"/>
        </w:rPr>
        <w:t>Stcrt</w:t>
      </w:r>
      <w:proofErr w:type="spellEnd"/>
      <w:r w:rsidR="0093634F">
        <w:rPr>
          <w:rFonts w:ascii="Verdana" w:hAnsi="Verdana"/>
          <w:sz w:val="20"/>
          <w:szCs w:val="20"/>
        </w:rPr>
        <w:t>. 201</w:t>
      </w:r>
      <w:r w:rsidR="00E164DB">
        <w:rPr>
          <w:rFonts w:ascii="Verdana" w:hAnsi="Verdana"/>
          <w:sz w:val="20"/>
          <w:szCs w:val="20"/>
        </w:rPr>
        <w:t>8</w:t>
      </w:r>
      <w:r w:rsidR="0093634F">
        <w:rPr>
          <w:rFonts w:ascii="Verdana" w:hAnsi="Verdana"/>
          <w:sz w:val="20"/>
          <w:szCs w:val="20"/>
        </w:rPr>
        <w:t xml:space="preserve"> nr. 1</w:t>
      </w:r>
      <w:r w:rsidR="00E164DB">
        <w:rPr>
          <w:rFonts w:ascii="Verdana" w:hAnsi="Verdana"/>
          <w:sz w:val="20"/>
          <w:szCs w:val="20"/>
        </w:rPr>
        <w:t>4186</w:t>
      </w:r>
      <w:r w:rsidR="0093634F">
        <w:rPr>
          <w:rFonts w:ascii="Verdana" w:hAnsi="Verdana"/>
          <w:sz w:val="20"/>
          <w:szCs w:val="20"/>
        </w:rPr>
        <w:t xml:space="preserve">, d.d. </w:t>
      </w:r>
      <w:r w:rsidR="00E164DB">
        <w:rPr>
          <w:rFonts w:ascii="Verdana" w:hAnsi="Verdana"/>
          <w:sz w:val="20"/>
          <w:szCs w:val="20"/>
        </w:rPr>
        <w:t>14 maart</w:t>
      </w:r>
      <w:r w:rsidR="0093634F">
        <w:rPr>
          <w:rFonts w:ascii="Verdana" w:hAnsi="Verdana"/>
          <w:sz w:val="20"/>
          <w:szCs w:val="20"/>
        </w:rPr>
        <w:t xml:space="preserve"> 201</w:t>
      </w:r>
      <w:r w:rsidR="00E164DB">
        <w:rPr>
          <w:rFonts w:ascii="Verdana" w:hAnsi="Verdana"/>
          <w:sz w:val="20"/>
          <w:szCs w:val="20"/>
        </w:rPr>
        <w:t>8</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3A0068">
        <w:rPr>
          <w:rFonts w:ascii="Verdana" w:hAnsi="Verdana"/>
          <w:sz w:val="20"/>
          <w:szCs w:val="20"/>
        </w:rPr>
        <w:t>5</w:t>
      </w:r>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w:t>
      </w:r>
      <w:r w:rsidR="00A366FF">
        <w:rPr>
          <w:rFonts w:ascii="Verdana" w:hAnsi="Verdana"/>
          <w:sz w:val="20"/>
          <w:szCs w:val="20"/>
        </w:rPr>
        <w:t>nu</w:t>
      </w:r>
      <w:r>
        <w:rPr>
          <w:rFonts w:ascii="Verdana" w:hAnsi="Verdana"/>
          <w:sz w:val="20"/>
          <w:szCs w:val="20"/>
        </w:rPr>
        <w:t xml:space="preserve">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w:t>
      </w:r>
      <w:r w:rsidR="004D730A">
        <w:rPr>
          <w:rFonts w:ascii="Verdana" w:hAnsi="Verdana"/>
          <w:sz w:val="20"/>
          <w:szCs w:val="20"/>
        </w:rPr>
        <w:t xml:space="preserve">overdracht van de </w:t>
      </w:r>
      <w:r w:rsidR="00556039">
        <w:rPr>
          <w:rFonts w:ascii="Verdana" w:hAnsi="Verdana"/>
          <w:sz w:val="20"/>
          <w:szCs w:val="20"/>
        </w:rPr>
        <w:t xml:space="preserve">schooljaarbekostiging </w:t>
      </w:r>
      <w:r w:rsidR="00AF736F">
        <w:rPr>
          <w:rFonts w:ascii="Verdana" w:hAnsi="Verdana"/>
          <w:sz w:val="20"/>
          <w:szCs w:val="20"/>
        </w:rPr>
        <w:t xml:space="preserve">voor de </w:t>
      </w:r>
      <w:r w:rsidR="004D730A">
        <w:rPr>
          <w:rFonts w:ascii="Verdana" w:hAnsi="Verdana"/>
          <w:sz w:val="20"/>
          <w:szCs w:val="20"/>
        </w:rPr>
        <w:t xml:space="preserve">personele bekostiging en de kalenderjaarbekostiging voor de materiële bekostiging </w:t>
      </w:r>
      <w:r w:rsidR="00AF736F">
        <w:rPr>
          <w:rFonts w:ascii="Verdana" w:hAnsi="Verdana"/>
          <w:sz w:val="20"/>
          <w:szCs w:val="20"/>
        </w:rPr>
        <w:t xml:space="preserve">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samengevoegd </w:t>
      </w:r>
      <w:r w:rsidR="006945FB">
        <w:rPr>
          <w:rFonts w:ascii="Verdana" w:hAnsi="Verdana"/>
          <w:sz w:val="20"/>
          <w:szCs w:val="20"/>
        </w:rPr>
        <w:t xml:space="preserve">met die van de projecten Herstart en Op de Rails en dat leidt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1F4817">
        <w:rPr>
          <w:rFonts w:ascii="Verdana" w:hAnsi="Verdana"/>
          <w:sz w:val="20"/>
          <w:szCs w:val="20"/>
        </w:rPr>
        <w:t>gold</w:t>
      </w:r>
      <w:r w:rsidR="006945FB">
        <w:rPr>
          <w:rFonts w:ascii="Verdana" w:hAnsi="Verdana"/>
          <w:sz w:val="20"/>
          <w:szCs w:val="20"/>
        </w:rPr>
        <w:t xml:space="preserve">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w:t>
      </w:r>
      <w:proofErr w:type="spellStart"/>
      <w:r w:rsidR="00F27DE5">
        <w:rPr>
          <w:rFonts w:ascii="Verdana" w:hAnsi="Verdana"/>
          <w:sz w:val="20"/>
          <w:szCs w:val="20"/>
        </w:rPr>
        <w:t>Stcrt</w:t>
      </w:r>
      <w:proofErr w:type="spellEnd"/>
      <w:r w:rsidR="00F27DE5">
        <w:rPr>
          <w:rFonts w:ascii="Verdana" w:hAnsi="Verdana"/>
          <w:sz w:val="20"/>
          <w:szCs w:val="20"/>
        </w:rPr>
        <w: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Alle groeimiddelen van het (V)SO zijn overgedragen aan de SWV-en. De omvang van dat budget is zeker 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w:t>
      </w:r>
      <w:proofErr w:type="spellStart"/>
      <w:r w:rsidRPr="00493F37">
        <w:rPr>
          <w:rFonts w:ascii="Verdana" w:hAnsi="Verdana"/>
          <w:sz w:val="20"/>
          <w:szCs w:val="20"/>
        </w:rPr>
        <w:t>Prestatiebox</w:t>
      </w:r>
      <w:proofErr w:type="spellEnd"/>
      <w:r w:rsidRPr="00493F37">
        <w:rPr>
          <w:rFonts w:ascii="Verdana" w:hAnsi="Verdana"/>
          <w:sz w:val="20"/>
          <w:szCs w:val="20"/>
        </w:rPr>
        <w:t xml:space="preserve">.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w:t>
      </w:r>
      <w:proofErr w:type="spellStart"/>
      <w:r w:rsidRPr="00493F37">
        <w:rPr>
          <w:rFonts w:ascii="Verdana" w:hAnsi="Verdana"/>
          <w:sz w:val="20"/>
          <w:szCs w:val="20"/>
        </w:rPr>
        <w:t>cumi</w:t>
      </w:r>
      <w:proofErr w:type="spellEnd"/>
      <w:r w:rsidRPr="00493F37">
        <w:rPr>
          <w:rFonts w:ascii="Verdana" w:hAnsi="Verdana"/>
          <w:sz w:val="20"/>
          <w:szCs w:val="20"/>
        </w:rPr>
        <w:t xml:space="preserve">-regeling-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971C19" w:rsidRPr="00971C19">
        <w:rPr>
          <w:rFonts w:ascii="Verdana" w:hAnsi="Verdana"/>
          <w:sz w:val="20"/>
          <w:szCs w:val="20"/>
        </w:rPr>
        <w:t xml:space="preserve"> </w:t>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Forse veranderingen lichte ondersteuning</w:t>
      </w:r>
    </w:p>
    <w:p w:rsidR="009D4BEA" w:rsidRDefault="009D4BEA" w:rsidP="009D4BEA">
      <w:pPr>
        <w:rPr>
          <w:rFonts w:ascii="Verdana" w:hAnsi="Verdana"/>
          <w:sz w:val="20"/>
          <w:szCs w:val="20"/>
        </w:rPr>
      </w:pPr>
      <w:r>
        <w:rPr>
          <w:rFonts w:ascii="Verdana" w:hAnsi="Verdana"/>
          <w:sz w:val="20"/>
          <w:szCs w:val="20"/>
        </w:rPr>
        <w:t xml:space="preserve">Door de onderbrenging van LWOO en PRO in het systeem van passend onderwijs </w:t>
      </w:r>
      <w:r w:rsidR="00C12799">
        <w:rPr>
          <w:rFonts w:ascii="Verdana" w:hAnsi="Verdana"/>
          <w:sz w:val="20"/>
          <w:szCs w:val="20"/>
        </w:rPr>
        <w:t>is</w:t>
      </w:r>
      <w:r>
        <w:rPr>
          <w:rFonts w:ascii="Verdana" w:hAnsi="Verdana"/>
          <w:sz w:val="20"/>
          <w:szCs w:val="20"/>
        </w:rPr>
        <w:t xml:space="preserve"> de bestaande lichte ondersteuning uitgebreid met de bekostiging van de ondersteuning voor LWOO en PRO.</w:t>
      </w:r>
      <w:r w:rsidRPr="007C1CBF">
        <w:rPr>
          <w:rFonts w:ascii="Verdana" w:hAnsi="Verdana"/>
          <w:sz w:val="20"/>
          <w:szCs w:val="20"/>
        </w:rPr>
        <w:t xml:space="preserve"> </w:t>
      </w:r>
      <w:r w:rsidR="00C12799">
        <w:rPr>
          <w:rFonts w:ascii="Verdana" w:hAnsi="Verdana"/>
          <w:sz w:val="20"/>
          <w:szCs w:val="20"/>
        </w:rPr>
        <w:t>Er was al</w:t>
      </w:r>
      <w:r>
        <w:rPr>
          <w:rFonts w:ascii="Verdana" w:hAnsi="Verdana"/>
          <w:sz w:val="20"/>
          <w:szCs w:val="20"/>
        </w:rPr>
        <w:t xml:space="preserve"> een onderscheid in de bekostiging LWOO en PRO naar basisbekostiging en ondersteuningsbekostiging, waarbij het ondersteuningsbudget is gemaximeerd op het niveau van de telling 1 oktober 2012. </w:t>
      </w:r>
    </w:p>
    <w:p w:rsidR="009D4BEA" w:rsidRPr="00F15179" w:rsidRDefault="009D4BEA" w:rsidP="009D4BEA">
      <w:pPr>
        <w:pStyle w:val="Default"/>
        <w:rPr>
          <w:rFonts w:ascii="Verdana" w:hAnsi="Verdana" w:cs="Verdana"/>
          <w:sz w:val="18"/>
          <w:szCs w:val="18"/>
        </w:rPr>
      </w:pPr>
      <w:r w:rsidRPr="00F15179">
        <w:rPr>
          <w:rFonts w:ascii="Verdana" w:hAnsi="Verdana" w:cs="Verdana"/>
          <w:sz w:val="20"/>
          <w:szCs w:val="20"/>
        </w:rPr>
        <w:t xml:space="preserve">Voor elk samenwerkingsverband wordt </w:t>
      </w:r>
      <w:r>
        <w:rPr>
          <w:rFonts w:ascii="Verdana" w:hAnsi="Verdana" w:cs="Verdana"/>
          <w:sz w:val="20"/>
          <w:szCs w:val="20"/>
        </w:rPr>
        <w:t xml:space="preserve">nu </w:t>
      </w:r>
      <w:r w:rsidRPr="00F15179">
        <w:rPr>
          <w:rFonts w:ascii="Verdana" w:hAnsi="Verdana" w:cs="Verdana"/>
          <w:sz w:val="20"/>
          <w:szCs w:val="20"/>
        </w:rPr>
        <w:t xml:space="preserve">een budget voor </w:t>
      </w:r>
      <w:r>
        <w:rPr>
          <w:rFonts w:ascii="Verdana" w:hAnsi="Verdana" w:cs="Verdana"/>
          <w:sz w:val="20"/>
          <w:szCs w:val="20"/>
        </w:rPr>
        <w:t>PRO</w:t>
      </w:r>
      <w:r w:rsidR="001B54DC">
        <w:rPr>
          <w:rFonts w:ascii="Verdana" w:hAnsi="Verdana" w:cs="Verdana"/>
          <w:sz w:val="20"/>
          <w:szCs w:val="20"/>
        </w:rPr>
        <w:t>, voor</w:t>
      </w:r>
      <w:r w:rsidRPr="00F15179">
        <w:rPr>
          <w:rFonts w:ascii="Verdana" w:hAnsi="Verdana" w:cs="Verdana"/>
          <w:sz w:val="20"/>
          <w:szCs w:val="20"/>
        </w:rPr>
        <w:t xml:space="preserve"> </w:t>
      </w:r>
      <w:r>
        <w:rPr>
          <w:rFonts w:ascii="Verdana" w:hAnsi="Verdana" w:cs="Verdana"/>
          <w:sz w:val="20"/>
          <w:szCs w:val="20"/>
        </w:rPr>
        <w:t>LWOO</w:t>
      </w:r>
      <w:r w:rsidRPr="00F15179">
        <w:rPr>
          <w:rFonts w:ascii="Verdana" w:hAnsi="Verdana" w:cs="Verdana"/>
          <w:sz w:val="20"/>
          <w:szCs w:val="20"/>
        </w:rPr>
        <w:t xml:space="preserve"> en een budget voor overige lichte ondersteuning vastgesteld. Deze budgetten worden onafhankelijk van elkaar vastgesteld. Deze budgetten vormen gezamenlijk het normatief budget voor lichte ondersteuning van een samenwerkingsverband.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Overige lichte ondersteuning</w:t>
      </w:r>
    </w:p>
    <w:p w:rsidR="009D4BEA" w:rsidRDefault="009D4BEA" w:rsidP="009D4BEA">
      <w:pPr>
        <w:rPr>
          <w:rFonts w:ascii="Verdana" w:hAnsi="Verdana"/>
          <w:sz w:val="20"/>
          <w:szCs w:val="20"/>
        </w:rPr>
      </w:pPr>
      <w:r w:rsidRPr="00493F37">
        <w:rPr>
          <w:rFonts w:ascii="Verdana" w:hAnsi="Verdana"/>
          <w:sz w:val="20"/>
          <w:szCs w:val="20"/>
        </w:rPr>
        <w:t xml:space="preserve">De bekostigingssystematiek van de </w:t>
      </w:r>
      <w:r>
        <w:rPr>
          <w:rFonts w:ascii="Verdana" w:hAnsi="Verdana"/>
          <w:sz w:val="20"/>
          <w:szCs w:val="20"/>
        </w:rPr>
        <w:t xml:space="preserve">Overige </w:t>
      </w:r>
      <w:r w:rsidRPr="00493F37">
        <w:rPr>
          <w:rFonts w:ascii="Verdana" w:hAnsi="Verdana"/>
          <w:sz w:val="20"/>
          <w:szCs w:val="20"/>
        </w:rPr>
        <w:t xml:space="preserve">lichte ondersteuning </w:t>
      </w:r>
      <w:r>
        <w:rPr>
          <w:rFonts w:ascii="Verdana" w:hAnsi="Verdana"/>
          <w:sz w:val="20"/>
          <w:szCs w:val="20"/>
        </w:rPr>
        <w:t xml:space="preserve">als zodanig </w:t>
      </w:r>
      <w:r w:rsidR="001E66AC">
        <w:rPr>
          <w:rFonts w:ascii="Verdana" w:hAnsi="Verdana"/>
          <w:sz w:val="20"/>
          <w:szCs w:val="20"/>
        </w:rPr>
        <w:t>wa</w:t>
      </w:r>
      <w:r w:rsidR="00547B43">
        <w:rPr>
          <w:rFonts w:ascii="Verdana" w:hAnsi="Verdana"/>
          <w:sz w:val="20"/>
          <w:szCs w:val="20"/>
        </w:rPr>
        <w:t>s</w:t>
      </w:r>
      <w:r>
        <w:rPr>
          <w:rFonts w:ascii="Verdana" w:hAnsi="Verdana"/>
          <w:sz w:val="20"/>
          <w:szCs w:val="20"/>
        </w:rPr>
        <w:t xml:space="preserve"> </w:t>
      </w:r>
      <w:r w:rsidR="00A419A2">
        <w:rPr>
          <w:rFonts w:ascii="Verdana" w:hAnsi="Verdana"/>
          <w:sz w:val="20"/>
          <w:szCs w:val="20"/>
        </w:rPr>
        <w:t xml:space="preserve">al per 1 augustus 2014 </w:t>
      </w:r>
      <w:r>
        <w:rPr>
          <w:rFonts w:ascii="Verdana" w:hAnsi="Verdana"/>
          <w:sz w:val="20"/>
          <w:szCs w:val="20"/>
        </w:rPr>
        <w:t>verander</w:t>
      </w:r>
      <w:r w:rsidR="00547B43">
        <w:rPr>
          <w:rFonts w:ascii="Verdana" w:hAnsi="Verdana"/>
          <w:sz w:val="20"/>
          <w:szCs w:val="20"/>
        </w:rPr>
        <w:t>d</w:t>
      </w:r>
      <w:r>
        <w:rPr>
          <w:rFonts w:ascii="Verdana" w:hAnsi="Verdana"/>
          <w:sz w:val="20"/>
          <w:szCs w:val="20"/>
        </w:rPr>
        <w:t xml:space="preserve">. De toekenning van het regionale zorgbudget </w:t>
      </w:r>
      <w:r w:rsidR="00C12799">
        <w:rPr>
          <w:rFonts w:ascii="Verdana" w:hAnsi="Verdana"/>
          <w:sz w:val="20"/>
          <w:szCs w:val="20"/>
        </w:rPr>
        <w:t>is</w:t>
      </w:r>
      <w:r>
        <w:rPr>
          <w:rFonts w:ascii="Verdana" w:hAnsi="Verdana"/>
          <w:sz w:val="20"/>
          <w:szCs w:val="20"/>
        </w:rPr>
        <w:t xml:space="preserve"> samengevoegd met het budget Rebound en ook de middelen voor Herstart en Op de Rails </w:t>
      </w:r>
      <w:r w:rsidR="00FF0A18">
        <w:rPr>
          <w:rFonts w:ascii="Verdana" w:hAnsi="Verdana"/>
          <w:sz w:val="20"/>
          <w:szCs w:val="20"/>
        </w:rPr>
        <w:t>zijn</w:t>
      </w:r>
      <w:r>
        <w:rPr>
          <w:rFonts w:ascii="Verdana" w:hAnsi="Verdana"/>
          <w:sz w:val="20"/>
          <w:szCs w:val="20"/>
        </w:rPr>
        <w:t xml:space="preserve"> daaraan toegevoegd. De middelen van de Overige lichte ondersteuning zijn bedoeld voor tijdelijke extra ondersteuning met het oog op terugkeer van de leerling in het reguliere onderwijs.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LWOO en PRO</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 xml:space="preserve">betekent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 xml:space="preserve">de basisbekostiging toekent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wordt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nu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3"/>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4"/>
      </w:r>
      <w:r>
        <w:rPr>
          <w:rFonts w:ascii="Verdana" w:hAnsi="Verdana"/>
          <w:sz w:val="20"/>
          <w:szCs w:val="20"/>
        </w:rPr>
        <w:t xml:space="preserve">. Voor het </w:t>
      </w:r>
      <w:r>
        <w:rPr>
          <w:rFonts w:ascii="Verdana" w:hAnsi="Verdana"/>
          <w:sz w:val="20"/>
          <w:szCs w:val="20"/>
        </w:rPr>
        <w:lastRenderedPageBreak/>
        <w:t>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Op 1-10-2015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proofErr w:type="spellStart"/>
      <w:r w:rsidR="00A02B58">
        <w:rPr>
          <w:rFonts w:ascii="Verdana" w:hAnsi="Verdana"/>
          <w:sz w:val="20"/>
          <w:szCs w:val="20"/>
        </w:rPr>
        <w:t>B</w:t>
      </w:r>
      <w:r w:rsidRPr="00493F37">
        <w:rPr>
          <w:rFonts w:ascii="Verdana" w:hAnsi="Verdana"/>
          <w:sz w:val="20"/>
          <w:szCs w:val="20"/>
        </w:rPr>
        <w:t>rinnummer</w:t>
      </w:r>
      <w:proofErr w:type="spellEnd"/>
      <w:r w:rsidRPr="00493F37">
        <w:rPr>
          <w:rFonts w:ascii="Verdana" w:hAnsi="Verdana"/>
          <w:sz w:val="20"/>
          <w:szCs w:val="20"/>
        </w:rPr>
        <w:t xml:space="preserve">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w:t>
      </w:r>
      <w:r>
        <w:rPr>
          <w:rFonts w:ascii="Verdana" w:hAnsi="Verdana"/>
          <w:sz w:val="20"/>
          <w:szCs w:val="20"/>
        </w:rPr>
        <w:lastRenderedPageBreak/>
        <w:t xml:space="preserve">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Pr>
          <w:rFonts w:ascii="Verdana" w:hAnsi="Verdana"/>
          <w:sz w:val="20"/>
          <w:szCs w:val="20"/>
        </w:rPr>
        <w:t>Bij de overgang van LWOO en P</w:t>
      </w:r>
      <w:r w:rsidR="009224EE">
        <w:rPr>
          <w:rFonts w:ascii="Verdana" w:hAnsi="Verdana"/>
          <w:sz w:val="20"/>
          <w:szCs w:val="20"/>
        </w:rPr>
        <w:t>R</w:t>
      </w:r>
      <w:r>
        <w:rPr>
          <w:rFonts w:ascii="Verdana" w:hAnsi="Verdana"/>
          <w:sz w:val="20"/>
          <w:szCs w:val="20"/>
        </w:rPr>
        <w:t>O naar passend onderwijs g</w:t>
      </w:r>
      <w:r w:rsidR="00B3555D">
        <w:rPr>
          <w:rFonts w:ascii="Verdana" w:hAnsi="Verdana"/>
          <w:sz w:val="20"/>
          <w:szCs w:val="20"/>
        </w:rPr>
        <w:t>old</w:t>
      </w:r>
      <w:r>
        <w:rPr>
          <w:rFonts w:ascii="Verdana" w:hAnsi="Verdana"/>
          <w:sz w:val="20"/>
          <w:szCs w:val="20"/>
        </w:rPr>
        <w:t xml:space="preserve"> voor de periode 1 augustus </w:t>
      </w:r>
      <w:r w:rsidR="00B3555D">
        <w:rPr>
          <w:rFonts w:ascii="Verdana" w:hAnsi="Verdana"/>
          <w:sz w:val="20"/>
          <w:szCs w:val="20"/>
        </w:rPr>
        <w:t xml:space="preserve">2015 </w:t>
      </w:r>
      <w:r>
        <w:rPr>
          <w:rFonts w:ascii="Verdana" w:hAnsi="Verdana"/>
          <w:sz w:val="20"/>
          <w:szCs w:val="20"/>
        </w:rPr>
        <w:t>tot 1 januari 2016 dat de ‘oude’ (kalenderjaar-) bekostiging gewoon doorl</w:t>
      </w:r>
      <w:r w:rsidR="002D2E35">
        <w:rPr>
          <w:rFonts w:ascii="Verdana" w:hAnsi="Verdana"/>
          <w:sz w:val="20"/>
          <w:szCs w:val="20"/>
        </w:rPr>
        <w:t>ie</w:t>
      </w:r>
      <w:r>
        <w:rPr>
          <w:rFonts w:ascii="Verdana" w:hAnsi="Verdana"/>
          <w:sz w:val="20"/>
          <w:szCs w:val="20"/>
        </w:rPr>
        <w:t>p</w:t>
      </w:r>
      <w:r w:rsidR="002D2E35">
        <w:rPr>
          <w:rFonts w:ascii="Verdana" w:hAnsi="Verdana"/>
          <w:sz w:val="20"/>
          <w:szCs w:val="20"/>
        </w:rPr>
        <w:t xml:space="preserve">; </w:t>
      </w:r>
      <w:r>
        <w:rPr>
          <w:rFonts w:ascii="Verdana" w:hAnsi="Verdana"/>
          <w:sz w:val="20"/>
          <w:szCs w:val="20"/>
        </w:rPr>
        <w:t xml:space="preserve">het samenwerkingsverband </w:t>
      </w:r>
      <w:r w:rsidR="002D2E35">
        <w:rPr>
          <w:rFonts w:ascii="Verdana" w:hAnsi="Verdana"/>
          <w:sz w:val="20"/>
          <w:szCs w:val="20"/>
        </w:rPr>
        <w:t xml:space="preserve">krijgt </w:t>
      </w:r>
      <w:r>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Pr>
          <w:rFonts w:ascii="Verdana" w:hAnsi="Verdana"/>
          <w:sz w:val="20"/>
          <w:szCs w:val="20"/>
        </w:rPr>
        <w:t xml:space="preserve">. </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die aan de orde zijn voor het samenwerkingsverband zijn als bijlage I</w:t>
      </w:r>
      <w:r w:rsidR="0039271A">
        <w:rPr>
          <w:rFonts w:ascii="Verdana" w:hAnsi="Verdana"/>
          <w:sz w:val="20"/>
          <w:szCs w:val="20"/>
        </w:rPr>
        <w:t>a en bijlage Ib</w:t>
      </w:r>
      <w:r w:rsidRPr="00493F37">
        <w:rPr>
          <w:rFonts w:ascii="Verdana" w:hAnsi="Verdana"/>
          <w:sz w:val="20"/>
          <w:szCs w:val="20"/>
        </w:rPr>
        <w:t xml:space="preserve"> aan deze notitie toegevoegd.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D4BEA" w:rsidRPr="00B76990"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w:t>
      </w:r>
      <w:proofErr w:type="spellStart"/>
      <w:r w:rsidRPr="00B76990">
        <w:rPr>
          <w:rFonts w:ascii="Verdana" w:hAnsi="Verdana"/>
          <w:sz w:val="20"/>
          <w:szCs w:val="20"/>
        </w:rPr>
        <w:t>testinstrumenten</w:t>
      </w:r>
      <w:r>
        <w:rPr>
          <w:rFonts w:ascii="Verdana" w:hAnsi="Verdana"/>
          <w:sz w:val="20"/>
          <w:szCs w:val="20"/>
        </w:rPr>
        <w:t>lijst</w:t>
      </w:r>
      <w:proofErr w:type="spellEnd"/>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w:t>
      </w:r>
      <w:proofErr w:type="spellStart"/>
      <w:r w:rsidRPr="00B76990">
        <w:rPr>
          <w:rFonts w:ascii="Verdana" w:hAnsi="Verdana"/>
          <w:sz w:val="20"/>
          <w:szCs w:val="20"/>
        </w:rPr>
        <w:t>VerwijzingsCommissie</w:t>
      </w:r>
      <w:proofErr w:type="spellEnd"/>
      <w:r w:rsidRPr="00B76990">
        <w:rPr>
          <w:rFonts w:ascii="Verdana" w:hAnsi="Verdana"/>
          <w:sz w:val="20"/>
          <w:szCs w:val="20"/>
        </w:rPr>
        <w:t xml:space="preserv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5"/>
      </w:r>
      <w:r w:rsidR="00910815">
        <w:rPr>
          <w:rFonts w:ascii="Verdana" w:hAnsi="Verdana"/>
          <w:sz w:val="20"/>
          <w:szCs w:val="20"/>
        </w:rPr>
        <w:t xml:space="preserve"> en </w:t>
      </w:r>
      <w:r w:rsidRPr="00B76990">
        <w:rPr>
          <w:rFonts w:ascii="Verdana" w:hAnsi="Verdana"/>
          <w:sz w:val="20"/>
          <w:szCs w:val="20"/>
        </w:rPr>
        <w:t xml:space="preserve">de (16) </w:t>
      </w:r>
      <w:proofErr w:type="spellStart"/>
      <w:r w:rsidRPr="00B76990">
        <w:rPr>
          <w:rFonts w:ascii="Verdana" w:hAnsi="Verdana"/>
          <w:sz w:val="20"/>
          <w:szCs w:val="20"/>
        </w:rPr>
        <w:t>RVC’s</w:t>
      </w:r>
      <w:proofErr w:type="spellEnd"/>
      <w:r w:rsidRPr="00B76990">
        <w:rPr>
          <w:rFonts w:ascii="Verdana" w:hAnsi="Verdana"/>
          <w:sz w:val="20"/>
          <w:szCs w:val="20"/>
        </w:rPr>
        <w:t xml:space="preserve"> met ingang van 1 augustus 2015 niet langer bestaan. De opheffing van de </w:t>
      </w:r>
      <w:proofErr w:type="spellStart"/>
      <w:r w:rsidRPr="00B76990">
        <w:rPr>
          <w:rFonts w:ascii="Verdana" w:hAnsi="Verdana"/>
          <w:sz w:val="20"/>
          <w:szCs w:val="20"/>
        </w:rPr>
        <w:t>RVC’s</w:t>
      </w:r>
      <w:proofErr w:type="spellEnd"/>
      <w:r w:rsidRPr="00B76990">
        <w:rPr>
          <w:rFonts w:ascii="Verdana" w:hAnsi="Verdana"/>
          <w:sz w:val="20"/>
          <w:szCs w:val="20"/>
        </w:rPr>
        <w:t xml:space="preserve"> leid</w:t>
      </w:r>
      <w:r w:rsidR="00DA2C06">
        <w:rPr>
          <w:rFonts w:ascii="Verdana" w:hAnsi="Verdana"/>
          <w:sz w:val="20"/>
          <w:szCs w:val="20"/>
        </w:rPr>
        <w:t>de</w:t>
      </w:r>
      <w:r w:rsidRPr="00B76990">
        <w:rPr>
          <w:rFonts w:ascii="Verdana" w:hAnsi="Verdana"/>
          <w:sz w:val="20"/>
          <w:szCs w:val="20"/>
        </w:rPr>
        <w:t xml:space="preserve"> tot een besparing van € 7,5 mln. die </w:t>
      </w:r>
      <w:r w:rsidR="00DA2C06">
        <w:rPr>
          <w:rFonts w:ascii="Verdana" w:hAnsi="Verdana"/>
          <w:sz w:val="20"/>
          <w:szCs w:val="20"/>
        </w:rPr>
        <w:t xml:space="preserve">toegedeeld </w:t>
      </w:r>
      <w:r w:rsidR="009627FB">
        <w:rPr>
          <w:rFonts w:ascii="Verdana" w:hAnsi="Verdana"/>
          <w:sz w:val="20"/>
          <w:szCs w:val="20"/>
        </w:rPr>
        <w:t>is</w:t>
      </w:r>
      <w:r w:rsidR="00DA2C06">
        <w:rPr>
          <w:rFonts w:ascii="Verdana" w:hAnsi="Verdana"/>
          <w:sz w:val="20"/>
          <w:szCs w:val="20"/>
        </w:rPr>
        <w:t xml:space="preserve"> </w:t>
      </w:r>
      <w:r w:rsidRPr="00B76990">
        <w:rPr>
          <w:rFonts w:ascii="Verdana" w:hAnsi="Verdana"/>
          <w:sz w:val="20"/>
          <w:szCs w:val="20"/>
        </w:rPr>
        <w:t xml:space="preserve">aan de </w:t>
      </w:r>
      <w:r>
        <w:rPr>
          <w:rFonts w:ascii="Verdana" w:hAnsi="Verdana"/>
          <w:sz w:val="20"/>
          <w:szCs w:val="20"/>
        </w:rPr>
        <w:t>samenwerkingsverbanden</w:t>
      </w:r>
      <w:r w:rsidRPr="00B76990">
        <w:rPr>
          <w:rFonts w:ascii="Verdana" w:hAnsi="Verdana"/>
          <w:sz w:val="20"/>
          <w:szCs w:val="20"/>
        </w:rPr>
        <w:t xml:space="preserve"> VO.</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komt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B16B02">
        <w:rPr>
          <w:rFonts w:ascii="Verdana" w:hAnsi="Verdana"/>
          <w:sz w:val="20"/>
          <w:szCs w:val="20"/>
        </w:rPr>
        <w:t xml:space="preserve">op 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w:t>
      </w:r>
      <w:r w:rsidRPr="00B76990">
        <w:rPr>
          <w:rFonts w:ascii="Verdana" w:hAnsi="Verdana"/>
          <w:sz w:val="20"/>
          <w:szCs w:val="20"/>
        </w:rPr>
        <w:lastRenderedPageBreak/>
        <w:t xml:space="preserve">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w:t>
      </w:r>
      <w:r w:rsidR="00A02B58">
        <w:rPr>
          <w:rFonts w:ascii="Verdana" w:hAnsi="Verdana"/>
          <w:sz w:val="20"/>
          <w:szCs w:val="20"/>
        </w:rPr>
        <w:t xml:space="preserve">vorige </w:t>
      </w:r>
      <w:r w:rsidRPr="00B76990">
        <w:rPr>
          <w:rFonts w:ascii="Verdana" w:hAnsi="Verdana"/>
          <w:sz w:val="20"/>
          <w:szCs w:val="20"/>
        </w:rPr>
        <w:t xml:space="preserve">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 xml:space="preserve">door de </w:t>
      </w:r>
      <w:r w:rsidR="00A02B58">
        <w:rPr>
          <w:rFonts w:ascii="Verdana" w:hAnsi="Verdana"/>
          <w:sz w:val="20"/>
          <w:szCs w:val="20"/>
        </w:rPr>
        <w:t>huidige</w:t>
      </w:r>
      <w:r w:rsidR="00C1037F">
        <w:rPr>
          <w:rFonts w:ascii="Verdana" w:hAnsi="Verdana"/>
          <w:sz w:val="20"/>
          <w:szCs w:val="20"/>
        </w:rPr>
        <w:t xml:space="preserve"> minister alsnog besloten worden.</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807BF3">
        <w:rPr>
          <w:rFonts w:ascii="Verdana" w:hAnsi="Verdana"/>
          <w:sz w:val="20"/>
          <w:szCs w:val="20"/>
        </w:rPr>
        <w:t>gold</w:t>
      </w:r>
      <w:r>
        <w:rPr>
          <w:rFonts w:ascii="Verdana" w:hAnsi="Verdana"/>
          <w:sz w:val="20"/>
          <w:szCs w:val="20"/>
        </w:rPr>
        <w:t xml:space="preserve"> er een overgangsregeling</w:t>
      </w:r>
      <w:r w:rsidR="00056B30">
        <w:rPr>
          <w:rFonts w:ascii="Verdana" w:hAnsi="Verdana"/>
          <w:sz w:val="20"/>
          <w:szCs w:val="20"/>
        </w:rPr>
        <w:t xml:space="preserve"> </w:t>
      </w:r>
      <w:r w:rsidR="00807BF3">
        <w:rPr>
          <w:rFonts w:ascii="Verdana" w:hAnsi="Verdana"/>
          <w:sz w:val="20"/>
          <w:szCs w:val="20"/>
        </w:rPr>
        <w:t>tot 1 januari 2017</w:t>
      </w:r>
      <w:r>
        <w:rPr>
          <w:rFonts w:ascii="Verdana" w:hAnsi="Verdana"/>
          <w:sz w:val="20"/>
          <w:szCs w:val="20"/>
        </w:rPr>
        <w:t>.</w:t>
      </w:r>
    </w:p>
    <w:p w:rsidR="009D4BEA" w:rsidRDefault="009D4BEA" w:rsidP="009D4BEA"/>
    <w:p w:rsidR="00493F37" w:rsidRPr="00493F37" w:rsidRDefault="00493F37" w:rsidP="00493F37">
      <w:pPr>
        <w:rPr>
          <w:rFonts w:ascii="Verdana" w:hAnsi="Verdana"/>
          <w:b/>
          <w:sz w:val="20"/>
          <w:szCs w:val="20"/>
        </w:rPr>
      </w:pPr>
      <w:r w:rsidRPr="00493F37">
        <w:rPr>
          <w:rFonts w:ascii="Verdana" w:hAnsi="Verdana"/>
          <w:b/>
          <w:sz w:val="20"/>
          <w:szCs w:val="20"/>
        </w:rPr>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003ECB" w:rsidRDefault="00003ECB" w:rsidP="00493F37">
      <w:pPr>
        <w:rPr>
          <w:rFonts w:ascii="Verdana" w:hAnsi="Verdana"/>
          <w:sz w:val="20"/>
          <w:szCs w:val="20"/>
        </w:rPr>
      </w:pPr>
    </w:p>
    <w:p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w:t>
      </w:r>
      <w:r w:rsidRPr="00493F37">
        <w:rPr>
          <w:rFonts w:ascii="Verdana" w:hAnsi="Verdana"/>
          <w:sz w:val="20"/>
          <w:szCs w:val="20"/>
        </w:rPr>
        <w:lastRenderedPageBreak/>
        <w:t xml:space="preserve">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6"/>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w:t>
      </w:r>
      <w:r w:rsidR="00011865">
        <w:rPr>
          <w:rFonts w:ascii="Verdana" w:hAnsi="Verdana"/>
          <w:sz w:val="20"/>
          <w:szCs w:val="20"/>
        </w:rPr>
        <w:lastRenderedPageBreak/>
        <w:t xml:space="preserve">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t>
      </w:r>
      <w:r w:rsidR="00003ECB">
        <w:rPr>
          <w:rFonts w:ascii="Verdana" w:hAnsi="Verdana"/>
          <w:sz w:val="20"/>
          <w:szCs w:val="20"/>
        </w:rPr>
        <w:t>(</w:t>
      </w:r>
      <w:r w:rsidR="001016DA">
        <w:rPr>
          <w:rFonts w:ascii="Verdana" w:hAnsi="Verdana"/>
          <w:sz w:val="20"/>
          <w:szCs w:val="20"/>
        </w:rPr>
        <w:t>‘</w:t>
      </w:r>
      <w:proofErr w:type="spellStart"/>
      <w:r w:rsidR="00003ECB">
        <w:rPr>
          <w:rFonts w:ascii="Verdana" w:hAnsi="Verdana"/>
          <w:sz w:val="20"/>
          <w:szCs w:val="20"/>
        </w:rPr>
        <w:t>cumi</w:t>
      </w:r>
      <w:proofErr w:type="spellEnd"/>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w:t>
      </w:r>
      <w:proofErr w:type="spellStart"/>
      <w:r w:rsidRPr="00493F37">
        <w:rPr>
          <w:rFonts w:ascii="Verdana" w:hAnsi="Verdana"/>
          <w:sz w:val="20"/>
          <w:szCs w:val="20"/>
        </w:rPr>
        <w:t>BasisRegister</w:t>
      </w:r>
      <w:proofErr w:type="spellEnd"/>
      <w:r w:rsidRPr="00493F37">
        <w:rPr>
          <w:rFonts w:ascii="Verdana" w:hAnsi="Verdana"/>
          <w:sz w:val="20"/>
          <w:szCs w:val="20"/>
        </w:rPr>
        <w:t xml:space="preserve"> </w:t>
      </w:r>
      <w:proofErr w:type="spellStart"/>
      <w:r w:rsidRPr="00493F37">
        <w:rPr>
          <w:rFonts w:ascii="Verdana" w:hAnsi="Verdana"/>
          <w:sz w:val="20"/>
          <w:szCs w:val="20"/>
        </w:rPr>
        <w:t>OnderwijsNummer</w:t>
      </w:r>
      <w:proofErr w:type="spellEnd"/>
      <w:r w:rsidRPr="00493F37">
        <w:rPr>
          <w:rFonts w:ascii="Verdana" w:hAnsi="Verdana"/>
          <w:sz w:val="20"/>
          <w:szCs w:val="20"/>
        </w:rPr>
        <w:t xml:space="preserve">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185825" w:rsidP="00EB7C61">
      <w:pPr>
        <w:rPr>
          <w:rFonts w:ascii="Verdana" w:hAnsi="Verdana"/>
          <w:sz w:val="20"/>
          <w:szCs w:val="20"/>
        </w:rPr>
      </w:pPr>
      <w:hyperlink r:id="rId10" w:history="1">
        <w:r w:rsidR="00C8732E" w:rsidRPr="00C8732E">
          <w:rPr>
            <w:rStyle w:val="Hyperlink"/>
            <w:rFonts w:ascii="Verdana" w:hAnsi="Verdana"/>
            <w:sz w:val="20"/>
            <w:szCs w:val="20"/>
          </w:rPr>
          <w:t>Samenwe</w:t>
        </w:r>
        <w:r w:rsidR="00C8732E" w:rsidRPr="00C8732E">
          <w:rPr>
            <w:rStyle w:val="Hyperlink"/>
            <w:rFonts w:ascii="Verdana" w:hAnsi="Verdana"/>
            <w:sz w:val="20"/>
            <w:szCs w:val="20"/>
          </w:rPr>
          <w:t>r</w:t>
        </w:r>
        <w:r w:rsidR="00C8732E" w:rsidRPr="00C8732E">
          <w:rPr>
            <w:rStyle w:val="Hyperlink"/>
            <w:rFonts w:ascii="Verdana" w:hAnsi="Verdana"/>
            <w:sz w:val="20"/>
            <w:szCs w:val="20"/>
          </w:rPr>
          <w:t>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3A2CB1">
        <w:rPr>
          <w:rFonts w:ascii="Verdana" w:hAnsi="Verdana"/>
          <w:sz w:val="20"/>
          <w:szCs w:val="20"/>
        </w:rPr>
        <w:t>1</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lastRenderedPageBreak/>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w:t>
      </w:r>
      <w:r w:rsidR="00D74C04">
        <w:rPr>
          <w:rFonts w:ascii="Verdana" w:hAnsi="Verdana"/>
          <w:sz w:val="20"/>
          <w:szCs w:val="20"/>
        </w:rPr>
        <w:t xml:space="preserve">nu </w:t>
      </w:r>
      <w:r w:rsidR="00D74C04" w:rsidRPr="00493F37">
        <w:rPr>
          <w:rFonts w:ascii="Verdana" w:hAnsi="Verdana"/>
          <w:sz w:val="20"/>
          <w:szCs w:val="20"/>
        </w:rPr>
        <w:t xml:space="preserve">hersteld door </w:t>
      </w:r>
      <w:r w:rsidR="00AB17D7">
        <w:rPr>
          <w:rFonts w:ascii="Verdana" w:hAnsi="Verdana"/>
          <w:sz w:val="20"/>
          <w:szCs w:val="20"/>
        </w:rPr>
        <w:t xml:space="preserve">de recent gepubliceerde </w:t>
      </w:r>
      <w:r w:rsidR="00D74C04" w:rsidRPr="00493F37">
        <w:rPr>
          <w:rFonts w:ascii="Verdana" w:hAnsi="Verdana"/>
          <w:sz w:val="20"/>
          <w:szCs w:val="20"/>
        </w:rPr>
        <w:t>wetswijziging</w:t>
      </w:r>
      <w:r w:rsidR="00AB17D7">
        <w:rPr>
          <w:rFonts w:ascii="Verdana" w:hAnsi="Verdana"/>
          <w:sz w:val="20"/>
          <w:szCs w:val="20"/>
        </w:rPr>
        <w:t xml:space="preserve"> (</w:t>
      </w:r>
      <w:proofErr w:type="spellStart"/>
      <w:r w:rsidR="00AB17D7">
        <w:rPr>
          <w:rFonts w:ascii="Verdana" w:hAnsi="Verdana"/>
          <w:sz w:val="20"/>
          <w:szCs w:val="20"/>
        </w:rPr>
        <w:t>Stbld</w:t>
      </w:r>
      <w:proofErr w:type="spellEnd"/>
      <w:r w:rsidR="00AB17D7">
        <w:rPr>
          <w:rFonts w:ascii="Verdana" w:hAnsi="Verdana"/>
          <w:sz w:val="20"/>
          <w:szCs w:val="20"/>
        </w:rPr>
        <w:t xml:space="preserve">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AB17D7">
        <w:rPr>
          <w:rFonts w:ascii="Verdana" w:hAnsi="Verdana"/>
          <w:sz w:val="20"/>
          <w:szCs w:val="20"/>
        </w:rPr>
        <w:t xml:space="preserve">zal dit in de versie voor de telling 1 februari 2018 worden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overdrachtsverplichting te rekenen</w:t>
      </w:r>
      <w:r w:rsidR="005B3200">
        <w:rPr>
          <w:rStyle w:val="Voetnootmarkering"/>
          <w:rFonts w:ascii="Verdana" w:hAnsi="Verdana"/>
          <w:sz w:val="20"/>
          <w:szCs w:val="20"/>
        </w:rPr>
        <w:footnoteReference w:id="8"/>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9"/>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als bijlage </w:t>
      </w:r>
      <w:proofErr w:type="spellStart"/>
      <w:r w:rsidRPr="00BC426A">
        <w:rPr>
          <w:rFonts w:ascii="Verdana" w:hAnsi="Verdana"/>
          <w:sz w:val="20"/>
          <w:szCs w:val="20"/>
        </w:rPr>
        <w:t>II</w:t>
      </w:r>
      <w:r w:rsidR="00170B92" w:rsidRPr="00BC426A">
        <w:rPr>
          <w:rFonts w:ascii="Verdana" w:hAnsi="Verdana"/>
          <w:sz w:val="20"/>
          <w:szCs w:val="20"/>
        </w:rPr>
        <w:t>a</w:t>
      </w:r>
      <w:proofErr w:type="spellEnd"/>
      <w:r w:rsidR="00170B92" w:rsidRPr="00BC426A">
        <w:rPr>
          <w:rFonts w:ascii="Verdana" w:hAnsi="Verdana"/>
          <w:sz w:val="20"/>
          <w:szCs w:val="20"/>
        </w:rPr>
        <w:t xml:space="preserve"> en </w:t>
      </w:r>
      <w:proofErr w:type="spellStart"/>
      <w:r w:rsidR="00170B92" w:rsidRPr="00BC426A">
        <w:rPr>
          <w:rFonts w:ascii="Verdana" w:hAnsi="Verdana"/>
          <w:sz w:val="20"/>
          <w:szCs w:val="20"/>
        </w:rPr>
        <w:t>IIb</w:t>
      </w:r>
      <w:proofErr w:type="spellEnd"/>
      <w:r w:rsidRPr="00BC426A">
        <w:rPr>
          <w:rFonts w:ascii="Verdana" w:hAnsi="Verdana"/>
          <w:sz w:val="20"/>
          <w:szCs w:val="20"/>
        </w:rPr>
        <w:t xml:space="preserve"> aan deze notitie toegevoegd.</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493F37" w:rsidRPr="00801EA6" w:rsidRDefault="00493F37" w:rsidP="00167AF9">
      <w:pPr>
        <w:numPr>
          <w:ilvl w:val="0"/>
          <w:numId w:val="16"/>
        </w:numPr>
        <w:rPr>
          <w:rFonts w:ascii="Verdana" w:hAnsi="Verdana"/>
          <w:b/>
        </w:rPr>
      </w:pPr>
      <w:r w:rsidRPr="00493F37">
        <w:rPr>
          <w:rFonts w:ascii="Verdana" w:hAnsi="Verdana"/>
          <w:sz w:val="20"/>
          <w:szCs w:val="20"/>
        </w:rPr>
        <w:br w:type="page"/>
      </w:r>
      <w:r w:rsidR="00167AF9" w:rsidRPr="00801EA6">
        <w:rPr>
          <w:rFonts w:ascii="Verdana" w:hAnsi="Verdana"/>
          <w:b/>
        </w:rPr>
        <w:lastRenderedPageBreak/>
        <w:t xml:space="preserve"> </w:t>
      </w:r>
      <w:r w:rsidRPr="00801EA6">
        <w:rPr>
          <w:rFonts w:ascii="Verdana" w:hAnsi="Verdana"/>
          <w:b/>
        </w:rPr>
        <w:t xml:space="preserve">Bijlage I </w:t>
      </w:r>
      <w:r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C94075">
        <w:rPr>
          <w:rFonts w:ascii="Verdana" w:hAnsi="Verdana"/>
          <w:b/>
          <w:sz w:val="18"/>
          <w:szCs w:val="18"/>
        </w:rPr>
        <w:t>8</w:t>
      </w:r>
      <w:r w:rsidR="00E777A6">
        <w:rPr>
          <w:rFonts w:ascii="Verdana" w:hAnsi="Verdana"/>
          <w:b/>
          <w:sz w:val="18"/>
          <w:szCs w:val="18"/>
        </w:rPr>
        <w:t xml:space="preserve"> en 201</w:t>
      </w:r>
      <w:r w:rsidR="00C94075">
        <w:rPr>
          <w:rFonts w:ascii="Verdana" w:hAnsi="Verdana"/>
          <w:b/>
          <w:sz w:val="18"/>
          <w:szCs w:val="18"/>
        </w:rPr>
        <w:t>9</w:t>
      </w:r>
      <w:r w:rsidR="00E777A6">
        <w:rPr>
          <w:rFonts w:ascii="Verdana" w:hAnsi="Verdana"/>
          <w:b/>
          <w:sz w:val="18"/>
          <w:szCs w:val="18"/>
        </w:rPr>
        <w:t xml:space="preserve">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C94075">
        <w:rPr>
          <w:rFonts w:ascii="Verdana" w:hAnsi="Verdana"/>
          <w:sz w:val="18"/>
          <w:szCs w:val="18"/>
        </w:rPr>
        <w:t>81</w:t>
      </w:r>
      <w:r>
        <w:rPr>
          <w:rFonts w:ascii="Verdana" w:hAnsi="Verdana"/>
          <w:sz w:val="18"/>
          <w:szCs w:val="18"/>
        </w:rPr>
        <w:t xml:space="preserve"> Pers + </w:t>
      </w:r>
      <w:r w:rsidR="0018017D">
        <w:rPr>
          <w:rFonts w:ascii="Verdana" w:hAnsi="Verdana"/>
          <w:sz w:val="18"/>
          <w:szCs w:val="18"/>
        </w:rPr>
        <w:t>€ 14</w:t>
      </w:r>
      <w:r w:rsidR="00C94075">
        <w:rPr>
          <w:rFonts w:ascii="Verdana" w:hAnsi="Verdana"/>
          <w:sz w:val="18"/>
          <w:szCs w:val="18"/>
        </w:rPr>
        <w:t>,50</w:t>
      </w:r>
      <w:r w:rsidR="0018017D">
        <w:rPr>
          <w:rFonts w:ascii="Verdana" w:hAnsi="Verdana"/>
          <w:sz w:val="18"/>
          <w:szCs w:val="18"/>
        </w:rPr>
        <w:t xml:space="preserve"> </w:t>
      </w:r>
      <w:r>
        <w:rPr>
          <w:rFonts w:ascii="Verdana" w:hAnsi="Verdana"/>
          <w:sz w:val="18"/>
          <w:szCs w:val="18"/>
        </w:rPr>
        <w:t>Mat</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ondersteuningsbedragen per leerling </w:t>
      </w:r>
      <w:r w:rsidR="003B7EA1" w:rsidRPr="00DB7CCE">
        <w:rPr>
          <w:rFonts w:ascii="Verdana" w:hAnsi="Verdana"/>
          <w:b/>
          <w:sz w:val="18"/>
          <w:szCs w:val="18"/>
        </w:rPr>
        <w:t>201</w:t>
      </w:r>
      <w:r w:rsidR="00C94075">
        <w:rPr>
          <w:rFonts w:ascii="Verdana" w:hAnsi="Verdana"/>
          <w:b/>
          <w:sz w:val="18"/>
          <w:szCs w:val="18"/>
        </w:rPr>
        <w:t>8</w:t>
      </w:r>
      <w:r w:rsidR="00E777A6">
        <w:rPr>
          <w:rFonts w:ascii="Verdana" w:hAnsi="Verdana"/>
          <w:b/>
          <w:sz w:val="18"/>
          <w:szCs w:val="18"/>
        </w:rPr>
        <w:t xml:space="preserve"> en 201</w:t>
      </w:r>
      <w:r w:rsidR="00C94075">
        <w:rPr>
          <w:rFonts w:ascii="Verdana" w:hAnsi="Verdana"/>
          <w:b/>
          <w:sz w:val="18"/>
          <w:szCs w:val="18"/>
        </w:rPr>
        <w:t>9</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C94075">
        <w:rPr>
          <w:rFonts w:ascii="Verdana" w:hAnsi="Verdana"/>
          <w:sz w:val="18"/>
          <w:szCs w:val="18"/>
        </w:rPr>
        <w:t>3</w:t>
      </w:r>
      <w:r w:rsidR="006E5284">
        <w:rPr>
          <w:rFonts w:ascii="Verdana" w:hAnsi="Verdana"/>
          <w:sz w:val="18"/>
          <w:szCs w:val="18"/>
        </w:rPr>
        <w:t>24</w:t>
      </w:r>
      <w:r w:rsidR="0018017D">
        <w:rPr>
          <w:rFonts w:ascii="Verdana" w:hAnsi="Verdana"/>
          <w:sz w:val="18"/>
          <w:szCs w:val="18"/>
        </w:rPr>
        <w:t>,</w:t>
      </w:r>
      <w:r w:rsidR="001C2735">
        <w:rPr>
          <w:rFonts w:ascii="Verdana" w:hAnsi="Verdana"/>
          <w:sz w:val="18"/>
          <w:szCs w:val="18"/>
        </w:rPr>
        <w:t>0</w:t>
      </w:r>
      <w:r w:rsidR="00C94075">
        <w:rPr>
          <w:rFonts w:ascii="Verdana" w:hAnsi="Verdana"/>
          <w:sz w:val="18"/>
          <w:szCs w:val="18"/>
        </w:rPr>
        <w:t>5</w:t>
      </w:r>
      <w:r w:rsidR="0018017D">
        <w:rPr>
          <w:rFonts w:ascii="Verdana" w:hAnsi="Verdana"/>
          <w:sz w:val="18"/>
          <w:szCs w:val="18"/>
        </w:rPr>
        <w:t xml:space="preserve"> </w:t>
      </w:r>
      <w:r w:rsidR="00FF538E">
        <w:rPr>
          <w:rFonts w:ascii="Verdana" w:hAnsi="Verdana"/>
          <w:sz w:val="18"/>
          <w:szCs w:val="18"/>
        </w:rPr>
        <w:t>(prijsopgave</w:t>
      </w:r>
      <w:r w:rsidR="0018017D">
        <w:rPr>
          <w:rFonts w:ascii="Verdana" w:hAnsi="Verdana"/>
          <w:sz w:val="18"/>
          <w:szCs w:val="18"/>
        </w:rPr>
        <w:t xml:space="preserve"> </w:t>
      </w:r>
      <w:r w:rsidR="00C94075">
        <w:rPr>
          <w:rFonts w:ascii="Verdana" w:hAnsi="Verdana"/>
          <w:sz w:val="18"/>
          <w:szCs w:val="18"/>
        </w:rPr>
        <w:t>sept</w:t>
      </w:r>
      <w:r w:rsidR="0018017D">
        <w:rPr>
          <w:rFonts w:ascii="Verdana" w:hAnsi="Verdana"/>
          <w:sz w:val="18"/>
          <w:szCs w:val="18"/>
        </w:rPr>
        <w:t>. 201</w:t>
      </w:r>
      <w:r w:rsidR="00C94075">
        <w:rPr>
          <w:rFonts w:ascii="Verdana" w:hAnsi="Verdana"/>
          <w:sz w:val="18"/>
          <w:szCs w:val="18"/>
        </w:rPr>
        <w:t>8</w:t>
      </w:r>
      <w:r w:rsidR="00FF538E">
        <w:rPr>
          <w:rFonts w:ascii="Verdana" w:hAnsi="Verdana"/>
          <w:sz w:val="18"/>
          <w:szCs w:val="18"/>
        </w:rPr>
        <w:t>).</w:t>
      </w:r>
    </w:p>
    <w:p w:rsidR="0018017D" w:rsidRPr="00A02B58" w:rsidRDefault="0018017D" w:rsidP="0018017D">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w:t>
      </w:r>
      <w:r w:rsidR="000F4DA8" w:rsidRPr="00A02B58">
        <w:rPr>
          <w:rFonts w:ascii="Verdana" w:hAnsi="Verdana"/>
          <w:sz w:val="18"/>
          <w:szCs w:val="18"/>
          <w:lang w:val="en-GB"/>
        </w:rPr>
        <w:t>8</w:t>
      </w:r>
      <w:r w:rsidR="00C94075">
        <w:rPr>
          <w:rFonts w:ascii="Verdana" w:hAnsi="Verdana"/>
          <w:sz w:val="18"/>
          <w:szCs w:val="18"/>
          <w:lang w:val="en-GB"/>
        </w:rPr>
        <w:t>1</w:t>
      </w:r>
      <w:r w:rsidR="000F4DA8" w:rsidRPr="00A02B58">
        <w:rPr>
          <w:rFonts w:ascii="Verdana" w:hAnsi="Verdana"/>
          <w:sz w:val="18"/>
          <w:szCs w:val="18"/>
          <w:lang w:val="en-GB"/>
        </w:rPr>
        <w:t>,</w:t>
      </w:r>
      <w:r w:rsidR="00C94075">
        <w:rPr>
          <w:rFonts w:ascii="Verdana" w:hAnsi="Verdana"/>
          <w:sz w:val="18"/>
          <w:szCs w:val="18"/>
          <w:lang w:val="en-GB"/>
        </w:rPr>
        <w:t>49</w:t>
      </w:r>
      <w:r w:rsidRPr="00A02B58">
        <w:rPr>
          <w:rFonts w:ascii="Verdana" w:hAnsi="Verdana"/>
          <w:sz w:val="18"/>
          <w:szCs w:val="18"/>
          <w:lang w:val="en-GB"/>
        </w:rPr>
        <w:t xml:space="preserve"> (prijsopgave </w:t>
      </w:r>
      <w:r w:rsidR="001F77D6" w:rsidRPr="00A02B58">
        <w:rPr>
          <w:rFonts w:ascii="Verdana" w:hAnsi="Verdana"/>
          <w:sz w:val="18"/>
          <w:szCs w:val="18"/>
          <w:lang w:val="en-GB"/>
        </w:rPr>
        <w:t>sept.</w:t>
      </w:r>
      <w:r w:rsidRPr="00A02B58">
        <w:rPr>
          <w:rFonts w:ascii="Verdana" w:hAnsi="Verdana"/>
          <w:sz w:val="18"/>
          <w:szCs w:val="18"/>
          <w:lang w:val="en-GB"/>
        </w:rPr>
        <w:t xml:space="preserve"> 201</w:t>
      </w:r>
      <w:r w:rsidR="00C94075">
        <w:rPr>
          <w:rFonts w:ascii="Verdana" w:hAnsi="Verdana"/>
          <w:sz w:val="18"/>
          <w:szCs w:val="18"/>
          <w:lang w:val="en-GB"/>
        </w:rPr>
        <w:t>8</w:t>
      </w:r>
      <w:r w:rsidRPr="00A02B58">
        <w:rPr>
          <w:rFonts w:ascii="Verdana" w:hAnsi="Verdana"/>
          <w:sz w:val="18"/>
          <w:szCs w:val="18"/>
          <w:lang w:val="en-GB"/>
        </w:rPr>
        <w:t>).</w:t>
      </w:r>
    </w:p>
    <w:p w:rsidR="00520418" w:rsidRPr="00A02B58" w:rsidRDefault="00520418" w:rsidP="00737AAB">
      <w:pPr>
        <w:rPr>
          <w:rFonts w:ascii="Verdana" w:hAnsi="Verdana"/>
          <w:b/>
          <w:sz w:val="20"/>
          <w:szCs w:val="20"/>
          <w:lang w:val="en-GB"/>
        </w:rPr>
      </w:pPr>
    </w:p>
    <w:p w:rsidR="00520418" w:rsidRPr="00801EA6" w:rsidRDefault="00520418" w:rsidP="00520418">
      <w:pPr>
        <w:rPr>
          <w:rFonts w:ascii="Verdana" w:hAnsi="Verdana"/>
          <w:b/>
        </w:rPr>
      </w:pPr>
      <w:r w:rsidRPr="00801EA6">
        <w:rPr>
          <w:rFonts w:ascii="Verdana" w:hAnsi="Verdana"/>
          <w:b/>
        </w:rPr>
        <w:t>Bijlage II</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C94075">
        <w:rPr>
          <w:rFonts w:ascii="Verdana" w:hAnsi="Verdana"/>
          <w:b/>
          <w:sz w:val="18"/>
          <w:szCs w:val="18"/>
        </w:rPr>
        <w:t>8</w:t>
      </w:r>
      <w:r>
        <w:rPr>
          <w:rFonts w:ascii="Verdana" w:hAnsi="Verdana"/>
          <w:b/>
          <w:sz w:val="18"/>
          <w:szCs w:val="18"/>
        </w:rPr>
        <w:t>-1</w:t>
      </w:r>
      <w:r w:rsidR="00C94075">
        <w:rPr>
          <w:rFonts w:ascii="Verdana" w:hAnsi="Verdana"/>
          <w:b/>
          <w:sz w:val="18"/>
          <w:szCs w:val="18"/>
        </w:rPr>
        <w:t>9</w:t>
      </w:r>
      <w:r w:rsidR="0018017D">
        <w:rPr>
          <w:rFonts w:ascii="Verdana" w:hAnsi="Verdana"/>
          <w:b/>
          <w:sz w:val="18"/>
          <w:szCs w:val="18"/>
        </w:rPr>
        <w:t xml:space="preserve"> </w:t>
      </w:r>
      <w:r w:rsidR="00C94075">
        <w:rPr>
          <w:rFonts w:ascii="Verdana" w:hAnsi="Verdana"/>
          <w:b/>
          <w:sz w:val="18"/>
          <w:szCs w:val="18"/>
        </w:rPr>
        <w:t>sept</w:t>
      </w:r>
      <w:r w:rsidR="00E777A6">
        <w:rPr>
          <w:rFonts w:ascii="Verdana" w:hAnsi="Verdana"/>
          <w:b/>
          <w:sz w:val="18"/>
          <w:szCs w:val="18"/>
        </w:rPr>
        <w:t>.</w:t>
      </w:r>
      <w:r w:rsidR="0018017D">
        <w:rPr>
          <w:rFonts w:ascii="Verdana" w:hAnsi="Verdana"/>
          <w:b/>
          <w:sz w:val="18"/>
          <w:szCs w:val="18"/>
        </w:rPr>
        <w:t xml:space="preserve"> 201</w:t>
      </w:r>
      <w:r w:rsidR="00C94075">
        <w:rPr>
          <w:rFonts w:ascii="Verdana" w:hAnsi="Verdana"/>
          <w:b/>
          <w:sz w:val="18"/>
          <w:szCs w:val="18"/>
        </w:rPr>
        <w:t>8</w:t>
      </w:r>
      <w:r>
        <w:rPr>
          <w:rFonts w:ascii="Verdana" w:hAnsi="Verdana"/>
          <w:b/>
          <w:sz w:val="18"/>
          <w:szCs w:val="18"/>
        </w:rPr>
        <w:t>) en materieel (prijspeil 201</w:t>
      </w:r>
      <w:r w:rsidR="00C94075">
        <w:rPr>
          <w:rFonts w:ascii="Verdana" w:hAnsi="Verdana"/>
          <w:b/>
          <w:sz w:val="18"/>
          <w:szCs w:val="18"/>
        </w:rPr>
        <w:t>9</w:t>
      </w:r>
      <w:r>
        <w:rPr>
          <w:rFonts w:ascii="Verdana" w:hAnsi="Verdana"/>
          <w:b/>
          <w:sz w:val="18"/>
          <w:szCs w:val="18"/>
        </w:rPr>
        <w:t>)</w:t>
      </w:r>
    </w:p>
    <w:p w:rsidR="001A5E8D" w:rsidRDefault="001A2F74" w:rsidP="00520418">
      <w:pPr>
        <w:rPr>
          <w:rFonts w:ascii="Verdana" w:hAnsi="Verdana"/>
          <w:b/>
          <w:sz w:val="18"/>
          <w:szCs w:val="18"/>
        </w:rPr>
      </w:pPr>
      <w:r>
        <w:rPr>
          <w:rFonts w:ascii="Verdana" w:hAnsi="Verdana"/>
          <w:b/>
          <w:sz w:val="18"/>
          <w:szCs w:val="18"/>
        </w:rPr>
        <w:t>B</w:t>
      </w:r>
      <w:r w:rsidR="001A5E8D">
        <w:rPr>
          <w:rFonts w:ascii="Verdana" w:hAnsi="Verdana"/>
          <w:b/>
          <w:sz w:val="18"/>
          <w:szCs w:val="18"/>
        </w:rPr>
        <w:t>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r>
      <w:r w:rsidR="00C94075">
        <w:rPr>
          <w:rFonts w:ascii="Verdana" w:hAnsi="Verdana"/>
          <w:b/>
          <w:sz w:val="18"/>
          <w:szCs w:val="18"/>
        </w:rPr>
        <w:t>1</w:t>
      </w:r>
      <w:r>
        <w:rPr>
          <w:rFonts w:ascii="Verdana" w:hAnsi="Verdana"/>
          <w:b/>
          <w:sz w:val="18"/>
          <w:szCs w:val="18"/>
        </w:rPr>
        <w:t>8/19</w:t>
      </w:r>
      <w:r w:rsidR="00552DD0">
        <w:rPr>
          <w:rFonts w:ascii="Verdana" w:hAnsi="Verdana"/>
          <w:b/>
          <w:sz w:val="18"/>
          <w:szCs w:val="18"/>
        </w:rPr>
        <w:t xml:space="preserve"> en volgende</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C94075">
        <w:rPr>
          <w:rFonts w:ascii="Verdana" w:hAnsi="Verdana"/>
          <w:b/>
          <w:sz w:val="18"/>
          <w:szCs w:val="18"/>
        </w:rPr>
        <w:t>77,11</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w:t>
      </w:r>
      <w:r w:rsidR="00C94075">
        <w:rPr>
          <w:rFonts w:ascii="Verdana" w:hAnsi="Verdana"/>
          <w:b/>
          <w:sz w:val="18"/>
          <w:szCs w:val="18"/>
        </w:rPr>
        <w:t>8</w:t>
      </w:r>
      <w:r>
        <w:rPr>
          <w:rFonts w:ascii="Verdana" w:hAnsi="Verdana"/>
          <w:b/>
          <w:sz w:val="18"/>
          <w:szCs w:val="18"/>
        </w:rPr>
        <w:tab/>
      </w:r>
      <w:r w:rsidR="00801EA6">
        <w:rPr>
          <w:rFonts w:ascii="Verdana" w:hAnsi="Verdana"/>
          <w:b/>
          <w:sz w:val="18"/>
          <w:szCs w:val="18"/>
        </w:rPr>
        <w:tab/>
      </w:r>
      <w:r w:rsidR="00C94075">
        <w:rPr>
          <w:rFonts w:ascii="Verdana" w:hAnsi="Verdana"/>
          <w:b/>
          <w:sz w:val="18"/>
          <w:szCs w:val="18"/>
        </w:rPr>
        <w:t>2019</w:t>
      </w:r>
      <w:r w:rsidR="00552DD0">
        <w:rPr>
          <w:rFonts w:ascii="Verdana" w:hAnsi="Verdana"/>
          <w:b/>
          <w:sz w:val="18"/>
          <w:szCs w:val="18"/>
        </w:rPr>
        <w:t xml:space="preserve"> en volgende </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w:t>
      </w:r>
      <w:r w:rsidR="00C94075">
        <w:rPr>
          <w:rFonts w:ascii="Verdana" w:hAnsi="Verdana"/>
          <w:b/>
          <w:sz w:val="18"/>
          <w:szCs w:val="18"/>
        </w:rPr>
        <w:t>9</w:t>
      </w:r>
      <w:r>
        <w:rPr>
          <w:rFonts w:ascii="Verdana" w:hAnsi="Verdana"/>
          <w:b/>
          <w:sz w:val="18"/>
          <w:szCs w:val="18"/>
        </w:rPr>
        <w:t>,</w:t>
      </w:r>
      <w:r w:rsidR="00C94075">
        <w:rPr>
          <w:rFonts w:ascii="Verdana" w:hAnsi="Verdana"/>
          <w:b/>
          <w:sz w:val="18"/>
          <w:szCs w:val="18"/>
        </w:rPr>
        <w:t>13</w:t>
      </w:r>
      <w:r>
        <w:rPr>
          <w:rFonts w:ascii="Verdana" w:hAnsi="Verdana"/>
          <w:b/>
          <w:sz w:val="18"/>
          <w:szCs w:val="18"/>
        </w:rPr>
        <w:tab/>
      </w:r>
      <w:r w:rsidR="00801EA6">
        <w:rPr>
          <w:rFonts w:ascii="Verdana" w:hAnsi="Verdana"/>
          <w:b/>
          <w:sz w:val="18"/>
          <w:szCs w:val="18"/>
        </w:rPr>
        <w:tab/>
      </w:r>
      <w:r w:rsidR="00552DD0">
        <w:rPr>
          <w:rFonts w:ascii="Verdana" w:hAnsi="Verdana"/>
          <w:b/>
          <w:sz w:val="18"/>
          <w:szCs w:val="18"/>
        </w:rPr>
        <w:t>2</w:t>
      </w:r>
      <w:r w:rsidR="00E777A6">
        <w:rPr>
          <w:rFonts w:ascii="Verdana" w:hAnsi="Verdana"/>
          <w:b/>
          <w:sz w:val="18"/>
          <w:szCs w:val="18"/>
        </w:rPr>
        <w:t>9,</w:t>
      </w:r>
      <w:r w:rsidR="00C94075">
        <w:rPr>
          <w:rFonts w:ascii="Verdana" w:hAnsi="Verdana"/>
          <w:b/>
          <w:sz w:val="18"/>
          <w:szCs w:val="18"/>
        </w:rPr>
        <w:t>57</w:t>
      </w:r>
    </w:p>
    <w:p w:rsidR="00210FBB" w:rsidRDefault="00210FBB" w:rsidP="00520418">
      <w:pPr>
        <w:rPr>
          <w:rFonts w:ascii="Verdana" w:hAnsi="Verdana"/>
          <w:b/>
          <w:sz w:val="18"/>
          <w:szCs w:val="18"/>
        </w:rPr>
      </w:pPr>
    </w:p>
    <w:p w:rsidR="00520418" w:rsidRDefault="00520418" w:rsidP="00520418">
      <w:pPr>
        <w:rPr>
          <w:rFonts w:ascii="Verdana" w:hAnsi="Verdana"/>
          <w:b/>
          <w:sz w:val="18"/>
          <w:szCs w:val="18"/>
        </w:rPr>
      </w:pPr>
      <w:r w:rsidRPr="00983D3E">
        <w:rPr>
          <w:rFonts w:ascii="Verdana" w:hAnsi="Verdana"/>
          <w:b/>
          <w:sz w:val="18"/>
          <w:szCs w:val="18"/>
        </w:rPr>
        <w:t>Bedragen (V)SO vanaf 1 augustus 201</w:t>
      </w:r>
      <w:r w:rsidR="00C94075">
        <w:rPr>
          <w:rFonts w:ascii="Verdana" w:hAnsi="Verdana"/>
          <w:b/>
          <w:sz w:val="18"/>
          <w:szCs w:val="18"/>
        </w:rPr>
        <w:t>8</w:t>
      </w:r>
      <w:r w:rsidRPr="00983D3E">
        <w:rPr>
          <w:rFonts w:ascii="Verdana" w:hAnsi="Verdana"/>
          <w:b/>
          <w:sz w:val="18"/>
          <w:szCs w:val="18"/>
        </w:rPr>
        <w:t xml:space="preserve"> o.b.v. prijzen 201</w:t>
      </w:r>
      <w:r w:rsidR="00C94075">
        <w:rPr>
          <w:rFonts w:ascii="Verdana" w:hAnsi="Verdana"/>
          <w:b/>
          <w:sz w:val="18"/>
          <w:szCs w:val="18"/>
        </w:rPr>
        <w:t>8</w:t>
      </w:r>
      <w:r w:rsidRPr="00983D3E">
        <w:rPr>
          <w:rFonts w:ascii="Verdana" w:hAnsi="Verdana"/>
          <w:b/>
          <w:sz w:val="18"/>
          <w:szCs w:val="18"/>
        </w:rPr>
        <w:t>-201</w:t>
      </w:r>
      <w:r w:rsidR="00C94075">
        <w:rPr>
          <w:rFonts w:ascii="Verdana" w:hAnsi="Verdana"/>
          <w:b/>
          <w:sz w:val="18"/>
          <w:szCs w:val="18"/>
        </w:rPr>
        <w:t>9</w:t>
      </w:r>
      <w:r w:rsidRPr="00983D3E">
        <w:rPr>
          <w:rFonts w:ascii="Verdana" w:hAnsi="Verdana"/>
          <w:b/>
          <w:sz w:val="18"/>
          <w:szCs w:val="18"/>
        </w:rPr>
        <w:t xml:space="preserve"> (</w:t>
      </w:r>
      <w:r w:rsidR="00C94075">
        <w:rPr>
          <w:rFonts w:ascii="Verdana" w:hAnsi="Verdana"/>
          <w:b/>
          <w:sz w:val="18"/>
          <w:szCs w:val="18"/>
        </w:rPr>
        <w:t>sept</w:t>
      </w:r>
      <w:r w:rsidR="00E777A6">
        <w:rPr>
          <w:rFonts w:ascii="Verdana" w:hAnsi="Verdana"/>
          <w:b/>
          <w:sz w:val="18"/>
          <w:szCs w:val="18"/>
        </w:rPr>
        <w:t>.</w:t>
      </w:r>
      <w:r>
        <w:rPr>
          <w:rFonts w:ascii="Verdana" w:hAnsi="Verdana"/>
          <w:b/>
          <w:sz w:val="18"/>
          <w:szCs w:val="18"/>
        </w:rPr>
        <w:t xml:space="preserve"> 201</w:t>
      </w:r>
      <w:r w:rsidR="00C94075">
        <w:rPr>
          <w:rFonts w:ascii="Verdana" w:hAnsi="Verdana"/>
          <w:b/>
          <w:sz w:val="18"/>
          <w:szCs w:val="18"/>
        </w:rPr>
        <w:t>8</w:t>
      </w:r>
      <w:r w:rsidRPr="00983D3E">
        <w:rPr>
          <w:rFonts w:ascii="Verdana" w:hAnsi="Verdana"/>
          <w:b/>
          <w:sz w:val="18"/>
          <w:szCs w:val="18"/>
        </w:rPr>
        <w:t>)</w:t>
      </w:r>
    </w:p>
    <w:p w:rsidR="00E777A6" w:rsidRDefault="00E777A6"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C94075" w:rsidRDefault="00C94075" w:rsidP="00520418">
      <w:pPr>
        <w:rPr>
          <w:rFonts w:ascii="Verdana" w:hAnsi="Verdana"/>
          <w:b/>
          <w:sz w:val="18"/>
          <w:szCs w:val="18"/>
        </w:rPr>
      </w:pPr>
      <w:r w:rsidRPr="00C94075">
        <w:drawing>
          <wp:inline distT="0" distB="0" distL="0" distR="0">
            <wp:extent cx="5759450" cy="75620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E777A6" w:rsidRPr="00983D3E" w:rsidRDefault="00E777A6" w:rsidP="00520418">
      <w:pPr>
        <w:rPr>
          <w:rFonts w:ascii="Verdana" w:hAnsi="Verdana"/>
          <w:b/>
          <w:sz w:val="18"/>
          <w:szCs w:val="18"/>
        </w:rPr>
      </w:pPr>
    </w:p>
    <w:p w:rsidR="00520418" w:rsidRPr="0023169C" w:rsidRDefault="00520418" w:rsidP="00520418">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C94075">
        <w:rPr>
          <w:rFonts w:ascii="Verdana" w:hAnsi="Verdana"/>
          <w:sz w:val="18"/>
          <w:szCs w:val="18"/>
        </w:rPr>
        <w:t>663,05</w:t>
      </w:r>
    </w:p>
    <w:p w:rsidR="00552DD0" w:rsidRDefault="00552DD0" w:rsidP="00520418">
      <w:pPr>
        <w:rPr>
          <w:rFonts w:ascii="Verdana" w:hAnsi="Verdana"/>
          <w:sz w:val="18"/>
          <w:szCs w:val="18"/>
        </w:rPr>
      </w:pPr>
    </w:p>
    <w:p w:rsidR="00520418" w:rsidRDefault="00520418" w:rsidP="00520418">
      <w:pPr>
        <w:rPr>
          <w:rFonts w:ascii="Verdana" w:hAnsi="Verdana"/>
          <w:b/>
          <w:sz w:val="18"/>
          <w:szCs w:val="18"/>
        </w:rPr>
      </w:pPr>
      <w:r w:rsidRPr="001A2F74">
        <w:rPr>
          <w:rFonts w:ascii="Verdana" w:hAnsi="Verdana"/>
          <w:b/>
          <w:sz w:val="18"/>
          <w:szCs w:val="18"/>
        </w:rPr>
        <w:t>Directietoeslagen</w:t>
      </w:r>
    </w:p>
    <w:p w:rsidR="00C94075" w:rsidRDefault="00C94075" w:rsidP="00520418">
      <w:pPr>
        <w:rPr>
          <w:rFonts w:ascii="Verdana" w:hAnsi="Verdana"/>
          <w:b/>
          <w:sz w:val="18"/>
          <w:szCs w:val="18"/>
        </w:rPr>
      </w:pPr>
      <w:r w:rsidRPr="00C94075">
        <w:drawing>
          <wp:inline distT="0" distB="0" distL="0" distR="0">
            <wp:extent cx="5759450" cy="3874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552DD0" w:rsidRDefault="00552DD0"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F3198F">
        <w:rPr>
          <w:rFonts w:ascii="Verdana" w:hAnsi="Verdana"/>
          <w:b/>
          <w:sz w:val="18"/>
          <w:szCs w:val="18"/>
        </w:rPr>
        <w:t>8</w:t>
      </w:r>
      <w:r w:rsidRPr="00983D3E">
        <w:rPr>
          <w:rFonts w:ascii="Verdana" w:hAnsi="Verdana"/>
          <w:b/>
          <w:sz w:val="18"/>
          <w:szCs w:val="18"/>
        </w:rPr>
        <w:t>-201</w:t>
      </w:r>
      <w:r w:rsidR="00F3198F">
        <w:rPr>
          <w:rFonts w:ascii="Verdana" w:hAnsi="Verdana"/>
          <w:b/>
          <w:sz w:val="18"/>
          <w:szCs w:val="18"/>
        </w:rPr>
        <w:t>9</w:t>
      </w:r>
      <w:r>
        <w:rPr>
          <w:rFonts w:ascii="Verdana" w:hAnsi="Verdana"/>
          <w:b/>
          <w:sz w:val="18"/>
          <w:szCs w:val="18"/>
        </w:rPr>
        <w:t xml:space="preserve"> (</w:t>
      </w:r>
      <w:r w:rsidR="00F3198F">
        <w:rPr>
          <w:rFonts w:ascii="Verdana" w:hAnsi="Verdana"/>
          <w:b/>
          <w:sz w:val="18"/>
          <w:szCs w:val="18"/>
        </w:rPr>
        <w:t>sept</w:t>
      </w:r>
      <w:r w:rsidR="00E02942">
        <w:rPr>
          <w:rFonts w:ascii="Verdana" w:hAnsi="Verdana"/>
          <w:b/>
          <w:sz w:val="18"/>
          <w:szCs w:val="18"/>
        </w:rPr>
        <w:t>.</w:t>
      </w:r>
      <w:r>
        <w:rPr>
          <w:rFonts w:ascii="Verdana" w:hAnsi="Verdana"/>
          <w:b/>
          <w:sz w:val="18"/>
          <w:szCs w:val="18"/>
        </w:rPr>
        <w:t xml:space="preserve"> 201</w:t>
      </w:r>
      <w:r w:rsidR="00F3198F">
        <w:rPr>
          <w:rFonts w:ascii="Verdana" w:hAnsi="Verdana"/>
          <w:b/>
          <w:sz w:val="18"/>
          <w:szCs w:val="18"/>
        </w:rPr>
        <w:t>8</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F3198F">
            <w:pPr>
              <w:rPr>
                <w:color w:val="000000"/>
                <w:sz w:val="20"/>
                <w:szCs w:val="20"/>
              </w:rPr>
            </w:pPr>
            <w:r w:rsidRPr="00E66053">
              <w:rPr>
                <w:color w:val="000000"/>
                <w:sz w:val="20"/>
                <w:szCs w:val="20"/>
              </w:rPr>
              <w:t xml:space="preserve"> € </w:t>
            </w:r>
            <w:r w:rsidR="00F3198F">
              <w:rPr>
                <w:color w:val="000000"/>
                <w:sz w:val="20"/>
                <w:szCs w:val="20"/>
              </w:rPr>
              <w:t>10</w:t>
            </w:r>
            <w:r w:rsidRPr="00E66053">
              <w:rPr>
                <w:color w:val="000000"/>
                <w:sz w:val="20"/>
                <w:szCs w:val="20"/>
              </w:rPr>
              <w:t>.</w:t>
            </w:r>
            <w:r w:rsidR="00F3198F">
              <w:rPr>
                <w:color w:val="000000"/>
                <w:sz w:val="20"/>
                <w:szCs w:val="20"/>
              </w:rPr>
              <w:t>109,54</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F3198F">
            <w:pPr>
              <w:rPr>
                <w:color w:val="000000"/>
                <w:sz w:val="20"/>
                <w:szCs w:val="20"/>
              </w:rPr>
            </w:pPr>
            <w:r w:rsidRPr="00E66053">
              <w:rPr>
                <w:color w:val="000000"/>
                <w:sz w:val="20"/>
                <w:szCs w:val="20"/>
              </w:rPr>
              <w:t xml:space="preserve"> € 1</w:t>
            </w:r>
            <w:r w:rsidR="00F3198F">
              <w:rPr>
                <w:color w:val="000000"/>
                <w:sz w:val="20"/>
                <w:szCs w:val="20"/>
              </w:rPr>
              <w:t>7.753,16</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F3198F">
            <w:pPr>
              <w:rPr>
                <w:color w:val="000000"/>
                <w:sz w:val="20"/>
                <w:szCs w:val="20"/>
              </w:rPr>
            </w:pPr>
            <w:r w:rsidRPr="00E66053">
              <w:rPr>
                <w:color w:val="000000"/>
                <w:sz w:val="20"/>
                <w:szCs w:val="20"/>
              </w:rPr>
              <w:t xml:space="preserve"> € 2</w:t>
            </w:r>
            <w:r w:rsidR="00F3198F">
              <w:rPr>
                <w:color w:val="000000"/>
                <w:sz w:val="20"/>
                <w:szCs w:val="20"/>
              </w:rPr>
              <w:t>1.998,49</w:t>
            </w:r>
            <w:r w:rsidRPr="00E66053">
              <w:rPr>
                <w:color w:val="000000"/>
                <w:sz w:val="20"/>
                <w:szCs w:val="20"/>
              </w:rPr>
              <w:t xml:space="preserve"> </w:t>
            </w:r>
          </w:p>
        </w:tc>
      </w:tr>
    </w:tbl>
    <w:p w:rsidR="007F7CB0" w:rsidRDefault="007F7CB0" w:rsidP="00EB0B84">
      <w:pPr>
        <w:rPr>
          <w:rFonts w:ascii="Verdana" w:hAnsi="Verdana"/>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w:t>
      </w:r>
      <w:r w:rsidR="00F3198F">
        <w:rPr>
          <w:rFonts w:ascii="Verdana" w:hAnsi="Verdana"/>
          <w:b/>
          <w:sz w:val="18"/>
          <w:szCs w:val="18"/>
        </w:rPr>
        <w:t>8</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6D2338">
        <w:rPr>
          <w:rFonts w:ascii="Verdana" w:hAnsi="Verdana"/>
          <w:b/>
          <w:sz w:val="18"/>
          <w:szCs w:val="18"/>
        </w:rPr>
        <w:t xml:space="preserve">Materiële </w:t>
      </w:r>
      <w:r w:rsidR="00EB0B84" w:rsidRPr="007F7CB0">
        <w:rPr>
          <w:rFonts w:ascii="Verdana" w:hAnsi="Verdana"/>
          <w:b/>
          <w:sz w:val="18"/>
          <w:szCs w:val="18"/>
        </w:rPr>
        <w:t>Ondersteuningsbekostiging</w:t>
      </w:r>
      <w:r w:rsidR="00D609C5">
        <w:rPr>
          <w:rFonts w:ascii="Verdana" w:hAnsi="Verdana"/>
          <w:b/>
          <w:sz w:val="18"/>
          <w:szCs w:val="18"/>
        </w:rPr>
        <w:t xml:space="preserve"> 201</w:t>
      </w:r>
      <w:r w:rsidR="00F3198F">
        <w:rPr>
          <w:rFonts w:ascii="Verdana" w:hAnsi="Verdana"/>
          <w:b/>
          <w:sz w:val="18"/>
          <w:szCs w:val="18"/>
        </w:rPr>
        <w:t>8</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w:t>
      </w:r>
      <w:r w:rsidR="00F3198F">
        <w:rPr>
          <w:rFonts w:ascii="Verdana" w:hAnsi="Verdana"/>
          <w:sz w:val="18"/>
          <w:szCs w:val="18"/>
        </w:rPr>
        <w:t>32,87</w:t>
      </w:r>
      <w:r w:rsidR="00025190">
        <w:rPr>
          <w:rFonts w:ascii="Verdana" w:hAnsi="Verdana"/>
          <w:sz w:val="18"/>
          <w:szCs w:val="18"/>
        </w:rPr>
        <w:tab/>
      </w:r>
      <w:r w:rsidR="00025190">
        <w:rPr>
          <w:rFonts w:ascii="Verdana" w:hAnsi="Verdana"/>
          <w:sz w:val="18"/>
          <w:szCs w:val="18"/>
        </w:rPr>
        <w:tab/>
        <w:t>€ 6</w:t>
      </w:r>
      <w:r w:rsidR="00F3198F">
        <w:rPr>
          <w:rFonts w:ascii="Verdana" w:hAnsi="Verdana"/>
          <w:sz w:val="18"/>
          <w:szCs w:val="18"/>
        </w:rPr>
        <w:t>27,91</w:t>
      </w:r>
      <w:r>
        <w:rPr>
          <w:rFonts w:ascii="Verdana" w:hAnsi="Verdana"/>
          <w:sz w:val="18"/>
          <w:szCs w:val="18"/>
        </w:rPr>
        <w:tab/>
        <w:t>€    9</w:t>
      </w:r>
      <w:r w:rsidR="00F3198F">
        <w:rPr>
          <w:rFonts w:ascii="Verdana" w:hAnsi="Verdana"/>
          <w:sz w:val="18"/>
          <w:szCs w:val="18"/>
        </w:rPr>
        <w:t>76,68</w:t>
      </w:r>
      <w:r>
        <w:rPr>
          <w:rFonts w:ascii="Verdana" w:hAnsi="Verdana"/>
          <w:sz w:val="18"/>
          <w:szCs w:val="18"/>
        </w:rPr>
        <w:tab/>
        <w:t>€ 1.</w:t>
      </w:r>
      <w:r w:rsidR="00025190">
        <w:rPr>
          <w:rFonts w:ascii="Verdana" w:hAnsi="Verdana"/>
          <w:sz w:val="18"/>
          <w:szCs w:val="18"/>
        </w:rPr>
        <w:t>1</w:t>
      </w:r>
      <w:r w:rsidR="00F3198F">
        <w:rPr>
          <w:rFonts w:ascii="Verdana" w:hAnsi="Verdana"/>
          <w:sz w:val="18"/>
          <w:szCs w:val="18"/>
        </w:rPr>
        <w:t>32,43</w:t>
      </w:r>
    </w:p>
    <w:p w:rsidR="006E5284" w:rsidRDefault="006E5284" w:rsidP="00EB0B84">
      <w:pPr>
        <w:rPr>
          <w:rFonts w:ascii="Verdana" w:hAnsi="Verdana"/>
          <w:sz w:val="18"/>
          <w:szCs w:val="18"/>
        </w:rPr>
      </w:pPr>
    </w:p>
    <w:p w:rsidR="006E5284" w:rsidRPr="007F7CB0" w:rsidRDefault="006E5284" w:rsidP="006E5284">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w:t>
      </w:r>
      <w:r w:rsidR="00F3198F">
        <w:rPr>
          <w:rFonts w:ascii="Verdana" w:hAnsi="Verdana"/>
          <w:b/>
          <w:sz w:val="18"/>
          <w:szCs w:val="18"/>
        </w:rPr>
        <w:t>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w:t>
      </w:r>
      <w:r w:rsidR="00F3198F">
        <w:rPr>
          <w:rFonts w:ascii="Verdana" w:hAnsi="Verdana"/>
          <w:b/>
          <w:sz w:val="18"/>
          <w:szCs w:val="18"/>
        </w:rPr>
        <w:t>9</w:t>
      </w:r>
    </w:p>
    <w:p w:rsidR="006E5284" w:rsidRPr="00B36823" w:rsidRDefault="006E5284" w:rsidP="006E52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6E5284" w:rsidRDefault="006E5284" w:rsidP="006E5284">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sidR="00F3198F">
        <w:rPr>
          <w:rFonts w:ascii="Verdana" w:hAnsi="Verdana"/>
          <w:sz w:val="18"/>
          <w:szCs w:val="18"/>
        </w:rPr>
        <w:t>51,36</w:t>
      </w:r>
      <w:r w:rsidRPr="00E02942">
        <w:rPr>
          <w:rFonts w:ascii="Verdana" w:hAnsi="Verdana"/>
          <w:sz w:val="18"/>
          <w:szCs w:val="18"/>
        </w:rPr>
        <w:tab/>
      </w:r>
      <w:r w:rsidRPr="00E02942">
        <w:rPr>
          <w:rFonts w:ascii="Verdana" w:hAnsi="Verdana"/>
          <w:sz w:val="18"/>
          <w:szCs w:val="18"/>
        </w:rPr>
        <w:tab/>
        <w:t>€ 6</w:t>
      </w:r>
      <w:r w:rsidR="00F3198F">
        <w:rPr>
          <w:rFonts w:ascii="Verdana" w:hAnsi="Verdana"/>
          <w:sz w:val="18"/>
          <w:szCs w:val="18"/>
        </w:rPr>
        <w:t>3</w:t>
      </w:r>
      <w:r w:rsidR="00E02942" w:rsidRPr="00E02942">
        <w:rPr>
          <w:rFonts w:ascii="Verdana" w:hAnsi="Verdana"/>
          <w:sz w:val="18"/>
          <w:szCs w:val="18"/>
        </w:rPr>
        <w:t>7,</w:t>
      </w:r>
      <w:r w:rsidR="00F3198F">
        <w:rPr>
          <w:rFonts w:ascii="Verdana" w:hAnsi="Verdana"/>
          <w:sz w:val="18"/>
          <w:szCs w:val="18"/>
        </w:rPr>
        <w:t>33</w:t>
      </w:r>
      <w:r w:rsidRPr="00E02942">
        <w:rPr>
          <w:rFonts w:ascii="Verdana" w:hAnsi="Verdana"/>
          <w:sz w:val="18"/>
          <w:szCs w:val="18"/>
        </w:rPr>
        <w:tab/>
        <w:t>€    9</w:t>
      </w:r>
      <w:r w:rsidR="00F3198F">
        <w:rPr>
          <w:rFonts w:ascii="Verdana" w:hAnsi="Verdana"/>
          <w:sz w:val="18"/>
          <w:szCs w:val="18"/>
        </w:rPr>
        <w:t>91</w:t>
      </w:r>
      <w:r w:rsidR="00E02942" w:rsidRPr="00E02942">
        <w:rPr>
          <w:rFonts w:ascii="Verdana" w:hAnsi="Verdana"/>
          <w:sz w:val="18"/>
          <w:szCs w:val="18"/>
        </w:rPr>
        <w:t>,</w:t>
      </w:r>
      <w:r w:rsidR="00F3198F">
        <w:rPr>
          <w:rFonts w:ascii="Verdana" w:hAnsi="Verdana"/>
          <w:sz w:val="18"/>
          <w:szCs w:val="18"/>
        </w:rPr>
        <w:t>33</w:t>
      </w:r>
      <w:r w:rsidRPr="00E02942">
        <w:rPr>
          <w:rFonts w:ascii="Verdana" w:hAnsi="Verdana"/>
          <w:sz w:val="18"/>
          <w:szCs w:val="18"/>
        </w:rPr>
        <w:tab/>
        <w:t>€ 1.1</w:t>
      </w:r>
      <w:r w:rsidR="00F3198F">
        <w:rPr>
          <w:rFonts w:ascii="Verdana" w:hAnsi="Verdana"/>
          <w:sz w:val="18"/>
          <w:szCs w:val="18"/>
        </w:rPr>
        <w:t>49</w:t>
      </w:r>
      <w:r w:rsidR="00E02942" w:rsidRPr="00E02942">
        <w:rPr>
          <w:rFonts w:ascii="Verdana" w:hAnsi="Verdana"/>
          <w:sz w:val="18"/>
          <w:szCs w:val="18"/>
        </w:rPr>
        <w:t>,4</w:t>
      </w:r>
      <w:r w:rsidR="00F3198F">
        <w:rPr>
          <w:rFonts w:ascii="Verdana" w:hAnsi="Verdana"/>
          <w:sz w:val="18"/>
          <w:szCs w:val="18"/>
        </w:rPr>
        <w:t>2</w:t>
      </w:r>
    </w:p>
    <w:p w:rsidR="00520418" w:rsidRDefault="00520418" w:rsidP="00520418">
      <w:pPr>
        <w:rPr>
          <w:rFonts w:ascii="Verdana" w:hAnsi="Verdana"/>
          <w:b/>
          <w:sz w:val="18"/>
          <w:szCs w:val="18"/>
        </w:rPr>
      </w:pPr>
    </w:p>
    <w:tbl>
      <w:tblPr>
        <w:tblW w:w="7184" w:type="dxa"/>
        <w:tblCellMar>
          <w:left w:w="70" w:type="dxa"/>
          <w:right w:w="70" w:type="dxa"/>
        </w:tblCellMar>
        <w:tblLook w:val="04A0" w:firstRow="1" w:lastRow="0" w:firstColumn="1" w:lastColumn="0" w:noHBand="0" w:noVBand="1"/>
      </w:tblPr>
      <w:tblGrid>
        <w:gridCol w:w="1796"/>
        <w:gridCol w:w="1796"/>
        <w:gridCol w:w="1796"/>
        <w:gridCol w:w="1796"/>
      </w:tblGrid>
      <w:tr w:rsidR="00F3198F" w:rsidRPr="00F3198F" w:rsidTr="00F3198F">
        <w:trPr>
          <w:trHeight w:val="255"/>
        </w:trPr>
        <w:tc>
          <w:tcPr>
            <w:tcW w:w="1796" w:type="dxa"/>
            <w:tcBorders>
              <w:top w:val="nil"/>
              <w:left w:val="nil"/>
              <w:bottom w:val="nil"/>
              <w:right w:val="nil"/>
            </w:tcBorders>
            <w:shd w:val="clear" w:color="auto" w:fill="auto"/>
            <w:noWrap/>
            <w:vAlign w:val="bottom"/>
          </w:tcPr>
          <w:p w:rsidR="00F3198F" w:rsidRPr="00F3198F" w:rsidRDefault="00F3198F" w:rsidP="00F3198F">
            <w:pPr>
              <w:jc w:val="right"/>
              <w:rPr>
                <w:rFonts w:ascii="Calibri" w:hAnsi="Calibri" w:cs="Calibri"/>
                <w:color w:val="000000"/>
                <w:sz w:val="20"/>
                <w:szCs w:val="20"/>
              </w:rPr>
            </w:pPr>
          </w:p>
        </w:tc>
        <w:tc>
          <w:tcPr>
            <w:tcW w:w="1796" w:type="dxa"/>
            <w:tcBorders>
              <w:top w:val="nil"/>
              <w:left w:val="nil"/>
              <w:bottom w:val="nil"/>
              <w:right w:val="nil"/>
            </w:tcBorders>
            <w:shd w:val="clear" w:color="auto" w:fill="auto"/>
            <w:noWrap/>
            <w:vAlign w:val="bottom"/>
          </w:tcPr>
          <w:p w:rsidR="00F3198F" w:rsidRPr="00F3198F" w:rsidRDefault="00F3198F" w:rsidP="00F3198F">
            <w:pPr>
              <w:jc w:val="right"/>
              <w:rPr>
                <w:rFonts w:ascii="Calibri" w:hAnsi="Calibri" w:cs="Calibri"/>
                <w:color w:val="000000"/>
                <w:sz w:val="20"/>
                <w:szCs w:val="20"/>
              </w:rPr>
            </w:pPr>
          </w:p>
        </w:tc>
        <w:tc>
          <w:tcPr>
            <w:tcW w:w="1796" w:type="dxa"/>
            <w:tcBorders>
              <w:top w:val="nil"/>
              <w:left w:val="nil"/>
              <w:bottom w:val="nil"/>
              <w:right w:val="nil"/>
            </w:tcBorders>
            <w:shd w:val="clear" w:color="auto" w:fill="auto"/>
            <w:noWrap/>
            <w:vAlign w:val="bottom"/>
          </w:tcPr>
          <w:p w:rsidR="00F3198F" w:rsidRPr="00F3198F" w:rsidRDefault="00F3198F" w:rsidP="00F3198F">
            <w:pPr>
              <w:jc w:val="right"/>
              <w:rPr>
                <w:rFonts w:ascii="Calibri" w:hAnsi="Calibri" w:cs="Calibri"/>
                <w:color w:val="000000"/>
                <w:sz w:val="20"/>
                <w:szCs w:val="20"/>
              </w:rPr>
            </w:pPr>
          </w:p>
        </w:tc>
        <w:tc>
          <w:tcPr>
            <w:tcW w:w="1796" w:type="dxa"/>
            <w:tcBorders>
              <w:top w:val="nil"/>
              <w:left w:val="nil"/>
              <w:bottom w:val="nil"/>
              <w:right w:val="nil"/>
            </w:tcBorders>
            <w:shd w:val="clear" w:color="auto" w:fill="auto"/>
            <w:noWrap/>
            <w:vAlign w:val="bottom"/>
          </w:tcPr>
          <w:p w:rsidR="00F3198F" w:rsidRPr="00F3198F" w:rsidRDefault="00F3198F" w:rsidP="00F3198F">
            <w:pPr>
              <w:jc w:val="right"/>
              <w:rPr>
                <w:rFonts w:ascii="Calibri" w:hAnsi="Calibri" w:cs="Calibri"/>
                <w:color w:val="000000"/>
                <w:sz w:val="20"/>
                <w:szCs w:val="20"/>
              </w:rPr>
            </w:pPr>
          </w:p>
        </w:tc>
      </w:tr>
    </w:tbl>
    <w:p w:rsidR="00520418" w:rsidRDefault="00520418" w:rsidP="00520418">
      <w:pPr>
        <w:rPr>
          <w:rFonts w:ascii="Verdana" w:hAnsi="Verdana"/>
          <w:b/>
          <w:sz w:val="18"/>
          <w:szCs w:val="18"/>
        </w:rPr>
      </w:pPr>
    </w:p>
    <w:sectPr w:rsidR="00520418" w:rsidSect="00EA3302">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25" w:rsidRDefault="00185825">
      <w:r>
        <w:separator/>
      </w:r>
    </w:p>
  </w:endnote>
  <w:endnote w:type="continuationSeparator" w:id="0">
    <w:p w:rsidR="00185825" w:rsidRDefault="0018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A02B58">
      <w:t>september</w:t>
    </w:r>
    <w:r w:rsidR="00FE4E6C">
      <w:t xml:space="preserve"> </w:t>
    </w:r>
    <w:r>
      <w:t>201</w:t>
    </w:r>
    <w:r w:rsidR="004D730A">
      <w:t>8</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167AF9">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25" w:rsidRDefault="00185825">
      <w:r>
        <w:separator/>
      </w:r>
    </w:p>
  </w:footnote>
  <w:footnote w:type="continuationSeparator" w:id="0">
    <w:p w:rsidR="00185825" w:rsidRDefault="00185825">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w:t>
      </w:r>
      <w:r w:rsidR="004D730A">
        <w:t>wa</w:t>
      </w:r>
      <w:r>
        <w:t>s opgenomen dat er sprake is van aanvulling van de personele ondersteuningsbekostiging en niet van de personele basisbekostiging. Geadviseerd w</w:t>
      </w:r>
      <w:r w:rsidR="004D730A">
        <w:t>erd</w:t>
      </w:r>
      <w:r>
        <w:t xml:space="preserve"> door de VO-Raad en de PO-Raad om ook de personele basisbekostiging over te dragen. Daartoe </w:t>
      </w:r>
      <w:r w:rsidR="004D730A">
        <w:t>wa</w:t>
      </w:r>
      <w:r>
        <w:t>s in het instrument Kijkdoos groeiregeling SWV VO deze keuzemogelijkheid ingebouwd.</w:t>
      </w:r>
      <w:r w:rsidR="001E66AC">
        <w:t xml:space="preserve"> Inmiddels is een wets</w:t>
      </w:r>
      <w:r w:rsidR="004D730A">
        <w:t xml:space="preserve">wijziging gerealiseerd </w:t>
      </w:r>
      <w:r w:rsidR="001E66AC">
        <w:t xml:space="preserve">waarin </w:t>
      </w:r>
      <w:r w:rsidR="004D730A">
        <w:t>is</w:t>
      </w:r>
      <w:r w:rsidR="001E66AC">
        <w:t xml:space="preserve"> opgenomen dat ook de personele basisbekostiging moet worden overgedragen. </w:t>
      </w:r>
      <w:r w:rsidR="004D730A">
        <w:t xml:space="preserve">Deze wetswijziging gaat gelden voor de telling van 1 februari 2018. </w:t>
      </w:r>
      <w:r w:rsidR="001E66AC">
        <w:t xml:space="preserve">In de </w:t>
      </w:r>
      <w:proofErr w:type="spellStart"/>
      <w:r w:rsidR="001E66AC">
        <w:t>MvT</w:t>
      </w:r>
      <w:proofErr w:type="spellEnd"/>
      <w:r w:rsidR="001E66AC">
        <w:t xml:space="preserve">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nog </w:t>
      </w:r>
      <w:r w:rsidR="0016064A">
        <w:t xml:space="preserve">nader </w:t>
      </w:r>
      <w:r w:rsidR="009627FB">
        <w:t>beslist worden.</w:t>
      </w:r>
    </w:p>
  </w:footnote>
  <w:footnote w:id="4">
    <w:p w:rsidR="00167108" w:rsidRDefault="00167108">
      <w:pPr>
        <w:pStyle w:val="Voetnoottekst"/>
      </w:pPr>
      <w:r>
        <w:rPr>
          <w:rStyle w:val="Voetnootmarkering"/>
        </w:rPr>
        <w:footnoteRef/>
      </w:r>
      <w:r>
        <w:t xml:space="preserve"> Dus geen onderscheid naar LWOO en PRO.</w:t>
      </w:r>
    </w:p>
  </w:footnote>
  <w:footnote w:id="5">
    <w:p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6">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7">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5B3200" w:rsidRDefault="005B3200">
      <w:pPr>
        <w:pStyle w:val="Voetnoottekst"/>
      </w:pPr>
      <w:r>
        <w:rPr>
          <w:rStyle w:val="Voetnootmarkering"/>
        </w:rPr>
        <w:footnoteRef/>
      </w:r>
      <w:r>
        <w:t xml:space="preserve"> In</w:t>
      </w:r>
      <w:r w:rsidR="00AB17D7">
        <w:t xml:space="preserve"> het we</w:t>
      </w:r>
      <w:r>
        <w:t xml:space="preserve">tsvoorstel </w:t>
      </w:r>
      <w:r w:rsidR="00AB17D7">
        <w:t xml:space="preserve">dat </w:t>
      </w:r>
      <w:r>
        <w:t xml:space="preserve">naar de Tweede Kamer </w:t>
      </w:r>
      <w:r w:rsidR="00AB17D7">
        <w:t xml:space="preserve">is </w:t>
      </w:r>
      <w:r>
        <w:t xml:space="preserve">gestuurd </w:t>
      </w:r>
      <w:r w:rsidR="00EE063C">
        <w:t>(TK 34</w:t>
      </w:r>
      <w:r w:rsidR="00AB17D7">
        <w:t>.</w:t>
      </w:r>
      <w:r w:rsidR="00EE063C">
        <w:t xml:space="preserve">732, 31 mei 2017) </w:t>
      </w:r>
      <w:r w:rsidR="00AB17D7">
        <w:t>was i</w:t>
      </w:r>
      <w:r>
        <w:t xml:space="preserve">n de </w:t>
      </w:r>
      <w:proofErr w:type="spellStart"/>
      <w:r>
        <w:t>MvT</w:t>
      </w:r>
      <w:proofErr w:type="spellEnd"/>
      <w:r>
        <w:t xml:space="preserve"> opgenomen dat dit </w:t>
      </w:r>
      <w:r w:rsidR="00AB17D7">
        <w:t xml:space="preserve">ook zou </w:t>
      </w:r>
      <w:r>
        <w:t>geld</w:t>
      </w:r>
      <w:r w:rsidR="00AB17D7">
        <w:t>en</w:t>
      </w:r>
      <w:r>
        <w:t xml:space="preserve"> voor de materi</w:t>
      </w:r>
      <w:r w:rsidR="00EE063C">
        <w:t>ë</w:t>
      </w:r>
      <w:r>
        <w:t>le bekostiging</w:t>
      </w:r>
      <w:r w:rsidR="00AB17D7">
        <w:t>,</w:t>
      </w:r>
      <w:r>
        <w:t xml:space="preserve"> maar de uitwerking voor de materi</w:t>
      </w:r>
      <w:r w:rsidR="001F77D6">
        <w:t>ë</w:t>
      </w:r>
      <w:r>
        <w:t xml:space="preserve">le bekostiging is niet in de tekst </w:t>
      </w:r>
      <w:r w:rsidR="00EE063C">
        <w:t xml:space="preserve">van </w:t>
      </w:r>
      <w:r w:rsidR="00AB17D7">
        <w:t xml:space="preserve">de </w:t>
      </w:r>
      <w:r w:rsidR="00EE063C">
        <w:t>wets</w:t>
      </w:r>
      <w:r w:rsidR="00AB17D7">
        <w:t>wijziging</w:t>
      </w:r>
      <w:r w:rsidR="00EE063C">
        <w:t xml:space="preserve"> </w:t>
      </w:r>
      <w:r>
        <w:t>opgenomen.</w:t>
      </w:r>
    </w:p>
  </w:footnote>
  <w:footnote w:id="9">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AF9"/>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825"/>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063"/>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B58"/>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075"/>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12C"/>
    <w:rsid w:val="00EC77FF"/>
    <w:rsid w:val="00EC7DA2"/>
    <w:rsid w:val="00ED03F5"/>
    <w:rsid w:val="00ED21C1"/>
    <w:rsid w:val="00ED4BAB"/>
    <w:rsid w:val="00ED5D91"/>
    <w:rsid w:val="00ED5DFF"/>
    <w:rsid w:val="00ED5E6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8F"/>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621885499">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9827-8501-44A7-82F8-AF3A0CC6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5893</Words>
  <Characters>32413</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38230</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2018-09-24T20:29:00Z</cp:lastPrinted>
  <dcterms:created xsi:type="dcterms:W3CDTF">2018-09-24T20:31:00Z</dcterms:created>
  <dcterms:modified xsi:type="dcterms:W3CDTF">2018-09-24T20:34:00Z</dcterms:modified>
</cp:coreProperties>
</file>