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bookmarkStart w:id="2" w:name="_GoBack"/>
      <w:bookmarkEnd w:id="2"/>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AE1F91">
        <w:rPr>
          <w:rFonts w:ascii="Verdana" w:hAnsi="Verdana" w:cs="Arial"/>
          <w:sz w:val="20"/>
          <w:szCs w:val="20"/>
        </w:rPr>
        <w:t>april</w:t>
      </w:r>
      <w:r w:rsidR="00B45C04">
        <w:rPr>
          <w:rFonts w:ascii="Verdana" w:hAnsi="Verdana" w:cs="Arial"/>
          <w:sz w:val="20"/>
          <w:szCs w:val="20"/>
        </w:rPr>
        <w:t xml:space="preserve"> 20</w:t>
      </w:r>
      <w:r>
        <w:rPr>
          <w:rFonts w:ascii="Verdana" w:hAnsi="Verdana" w:cs="Arial"/>
          <w:sz w:val="20"/>
          <w:szCs w:val="20"/>
        </w:rPr>
        <w:t>1</w:t>
      </w:r>
      <w:r w:rsidR="00AE1F91">
        <w:rPr>
          <w:rFonts w:ascii="Verdana" w:hAnsi="Verdana" w:cs="Arial"/>
          <w:sz w:val="20"/>
          <w:szCs w:val="20"/>
        </w:rPr>
        <w:t>9</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801FBB">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D71A4C">
        <w:rPr>
          <w:rFonts w:ascii="Verdana" w:hAnsi="Verdana"/>
          <w:b/>
        </w:rPr>
        <w:t>1</w:t>
      </w:r>
      <w:r w:rsidR="006F54A4">
        <w:rPr>
          <w:rFonts w:ascii="Verdana" w:hAnsi="Verdana"/>
          <w:b/>
        </w:rPr>
        <w:t>6</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5A1C50" w:rsidRDefault="004C7433" w:rsidP="005A1C50">
      <w:pPr>
        <w:rPr>
          <w:rFonts w:ascii="Verdana" w:hAnsi="Verdana"/>
          <w:b/>
          <w:sz w:val="20"/>
          <w:szCs w:val="20"/>
        </w:rPr>
      </w:pPr>
      <w:r w:rsidRPr="00DC45CD">
        <w:rPr>
          <w:rFonts w:ascii="Verdana" w:hAnsi="Verdana"/>
          <w:b/>
          <w:sz w:val="20"/>
          <w:szCs w:val="20"/>
        </w:rPr>
        <w:t>Bijlage I</w:t>
      </w:r>
      <w:r w:rsidR="009A25DA">
        <w:rPr>
          <w:rFonts w:ascii="Verdana" w:hAnsi="Verdana"/>
          <w:b/>
          <w:sz w:val="20"/>
          <w:szCs w:val="20"/>
        </w:rPr>
        <w:t>A</w:t>
      </w:r>
      <w:r w:rsidRPr="00DC45CD">
        <w:rPr>
          <w:rFonts w:ascii="Verdana" w:hAnsi="Verdana"/>
          <w:b/>
          <w:sz w:val="20"/>
          <w:szCs w:val="20"/>
        </w:rPr>
        <w:t>: Bedragen lichte ondersteuning 201</w:t>
      </w:r>
      <w:r w:rsidR="0051457D">
        <w:rPr>
          <w:rFonts w:ascii="Verdana" w:hAnsi="Verdana"/>
          <w:b/>
          <w:sz w:val="20"/>
          <w:szCs w:val="20"/>
        </w:rPr>
        <w:t>7</w:t>
      </w:r>
      <w:r w:rsidRPr="00DC45CD">
        <w:rPr>
          <w:rFonts w:ascii="Verdana" w:hAnsi="Verdana"/>
          <w:b/>
          <w:sz w:val="20"/>
          <w:szCs w:val="20"/>
        </w:rPr>
        <w:t>-201</w:t>
      </w:r>
      <w:r w:rsidR="0051457D">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17</w:t>
      </w:r>
    </w:p>
    <w:p w:rsidR="009A25DA" w:rsidRDefault="009A25DA" w:rsidP="009A25DA">
      <w:pPr>
        <w:rPr>
          <w:rFonts w:ascii="Verdana" w:hAnsi="Verdana"/>
          <w:b/>
          <w:sz w:val="20"/>
          <w:szCs w:val="20"/>
        </w:rPr>
      </w:pPr>
      <w:r w:rsidRPr="00DC45CD">
        <w:rPr>
          <w:rFonts w:ascii="Verdana" w:hAnsi="Verdana"/>
          <w:b/>
          <w:sz w:val="20"/>
          <w:szCs w:val="20"/>
        </w:rPr>
        <w:t>Bijlage I</w:t>
      </w:r>
      <w:r>
        <w:rPr>
          <w:rFonts w:ascii="Verdana" w:hAnsi="Verdana"/>
          <w:b/>
          <w:sz w:val="20"/>
          <w:szCs w:val="20"/>
        </w:rPr>
        <w:t>B</w:t>
      </w:r>
      <w:r w:rsidRPr="00DC45CD">
        <w:rPr>
          <w:rFonts w:ascii="Verdana" w:hAnsi="Verdana"/>
          <w:b/>
          <w:sz w:val="20"/>
          <w:szCs w:val="20"/>
        </w:rPr>
        <w:t>: Bedragen lichte ondersteuning 201</w:t>
      </w:r>
      <w:r w:rsidR="0051457D">
        <w:rPr>
          <w:rFonts w:ascii="Verdana" w:hAnsi="Verdana"/>
          <w:b/>
          <w:sz w:val="20"/>
          <w:szCs w:val="20"/>
        </w:rPr>
        <w:t>8</w:t>
      </w:r>
      <w:r w:rsidRPr="00DC45CD">
        <w:rPr>
          <w:rFonts w:ascii="Verdana" w:hAnsi="Verdana"/>
          <w:b/>
          <w:sz w:val="20"/>
          <w:szCs w:val="20"/>
        </w:rPr>
        <w:t>-201</w:t>
      </w:r>
      <w:r w:rsidR="0051457D">
        <w:rPr>
          <w:rFonts w:ascii="Verdana" w:hAnsi="Verdana"/>
          <w:b/>
          <w:sz w:val="20"/>
          <w:szCs w:val="20"/>
        </w:rPr>
        <w:t>9</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18</w:t>
      </w:r>
    </w:p>
    <w:p w:rsidR="00DC45CD" w:rsidRPr="00DC45CD" w:rsidRDefault="00DC45CD" w:rsidP="005A1C50">
      <w:pPr>
        <w:rPr>
          <w:rFonts w:ascii="Verdana" w:hAnsi="Verdana"/>
          <w:b/>
          <w:sz w:val="20"/>
          <w:szCs w:val="20"/>
        </w:rPr>
      </w:pPr>
    </w:p>
    <w:p w:rsidR="004C7433" w:rsidRPr="00DC45CD" w:rsidRDefault="004C7433" w:rsidP="004C7433">
      <w:pPr>
        <w:rPr>
          <w:rFonts w:ascii="Verdana" w:hAnsi="Verdana"/>
          <w:b/>
          <w:sz w:val="20"/>
          <w:szCs w:val="20"/>
        </w:rPr>
      </w:pPr>
      <w:r w:rsidRPr="00DC45CD">
        <w:rPr>
          <w:rFonts w:ascii="Verdana" w:hAnsi="Verdana"/>
          <w:b/>
          <w:sz w:val="20"/>
          <w:szCs w:val="20"/>
        </w:rPr>
        <w:t>Bijlage I</w:t>
      </w:r>
      <w:r w:rsidR="0084150E" w:rsidRPr="00DC45CD">
        <w:rPr>
          <w:rFonts w:ascii="Verdana" w:hAnsi="Verdana"/>
          <w:b/>
          <w:sz w:val="20"/>
          <w:szCs w:val="20"/>
        </w:rPr>
        <w:t>I</w:t>
      </w:r>
      <w:r w:rsidR="009A25DA">
        <w:rPr>
          <w:rFonts w:ascii="Verdana" w:hAnsi="Verdana"/>
          <w:b/>
          <w:sz w:val="20"/>
          <w:szCs w:val="20"/>
        </w:rPr>
        <w:t>A</w:t>
      </w:r>
      <w:r w:rsidRPr="00DC45CD">
        <w:rPr>
          <w:rFonts w:ascii="Verdana" w:hAnsi="Verdana"/>
          <w:b/>
          <w:sz w:val="20"/>
          <w:szCs w:val="20"/>
        </w:rPr>
        <w:t>: Bedragen zware ondersteuning 201</w:t>
      </w:r>
      <w:r w:rsidR="0051457D">
        <w:rPr>
          <w:rFonts w:ascii="Verdana" w:hAnsi="Verdana"/>
          <w:b/>
          <w:sz w:val="20"/>
          <w:szCs w:val="20"/>
        </w:rPr>
        <w:t>7</w:t>
      </w:r>
      <w:r w:rsidRPr="00DC45CD">
        <w:rPr>
          <w:rFonts w:ascii="Verdana" w:hAnsi="Verdana"/>
          <w:b/>
          <w:sz w:val="20"/>
          <w:szCs w:val="20"/>
        </w:rPr>
        <w:t>-201</w:t>
      </w:r>
      <w:r w:rsidR="0051457D">
        <w:rPr>
          <w:rFonts w:ascii="Verdana" w:hAnsi="Verdana"/>
          <w:b/>
          <w:sz w:val="20"/>
          <w:szCs w:val="20"/>
        </w:rPr>
        <w:t>8</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sidR="00DC45CD">
        <w:rPr>
          <w:rFonts w:ascii="Verdana" w:hAnsi="Verdana"/>
          <w:b/>
          <w:sz w:val="20"/>
          <w:szCs w:val="20"/>
        </w:rPr>
        <w:tab/>
      </w:r>
      <w:r w:rsidR="005941CC">
        <w:rPr>
          <w:rFonts w:ascii="Verdana" w:hAnsi="Verdana"/>
          <w:b/>
          <w:sz w:val="20"/>
          <w:szCs w:val="20"/>
        </w:rPr>
        <w:t>19</w:t>
      </w:r>
    </w:p>
    <w:p w:rsidR="009A25DA" w:rsidRPr="00DC45CD" w:rsidRDefault="009A25DA" w:rsidP="009A25DA">
      <w:pPr>
        <w:rPr>
          <w:rFonts w:ascii="Verdana" w:hAnsi="Verdana"/>
          <w:b/>
          <w:sz w:val="20"/>
          <w:szCs w:val="20"/>
        </w:rPr>
      </w:pPr>
      <w:r w:rsidRPr="00DC45CD">
        <w:rPr>
          <w:rFonts w:ascii="Verdana" w:hAnsi="Verdana"/>
          <w:b/>
          <w:sz w:val="20"/>
          <w:szCs w:val="20"/>
        </w:rPr>
        <w:t>Bijlage II</w:t>
      </w:r>
      <w:r>
        <w:rPr>
          <w:rFonts w:ascii="Verdana" w:hAnsi="Verdana"/>
          <w:b/>
          <w:sz w:val="20"/>
          <w:szCs w:val="20"/>
        </w:rPr>
        <w:t>B</w:t>
      </w:r>
      <w:r w:rsidRPr="00DC45CD">
        <w:rPr>
          <w:rFonts w:ascii="Verdana" w:hAnsi="Verdana"/>
          <w:b/>
          <w:sz w:val="20"/>
          <w:szCs w:val="20"/>
        </w:rPr>
        <w:t>: Bedragen zware ondersteuning 201</w:t>
      </w:r>
      <w:r w:rsidR="0051457D">
        <w:rPr>
          <w:rFonts w:ascii="Verdana" w:hAnsi="Verdana"/>
          <w:b/>
          <w:sz w:val="20"/>
          <w:szCs w:val="20"/>
        </w:rPr>
        <w:t>8</w:t>
      </w:r>
      <w:r w:rsidRPr="00DC45CD">
        <w:rPr>
          <w:rFonts w:ascii="Verdana" w:hAnsi="Verdana"/>
          <w:b/>
          <w:sz w:val="20"/>
          <w:szCs w:val="20"/>
        </w:rPr>
        <w:t>-201</w:t>
      </w:r>
      <w:r w:rsidR="0051457D">
        <w:rPr>
          <w:rFonts w:ascii="Verdana" w:hAnsi="Verdana"/>
          <w:b/>
          <w:sz w:val="20"/>
          <w:szCs w:val="20"/>
        </w:rPr>
        <w:t>9</w:t>
      </w:r>
      <w:r w:rsidRPr="00DC45CD">
        <w:rPr>
          <w:rFonts w:ascii="Verdana" w:hAnsi="Verdana"/>
          <w:b/>
          <w:sz w:val="20"/>
          <w:szCs w:val="20"/>
        </w:rPr>
        <w:tab/>
      </w:r>
      <w:r w:rsidRPr="00DC45CD">
        <w:rPr>
          <w:rFonts w:ascii="Verdana" w:hAnsi="Verdana"/>
          <w:b/>
          <w:sz w:val="20"/>
          <w:szCs w:val="20"/>
        </w:rPr>
        <w:tab/>
      </w:r>
      <w:r w:rsidRPr="00DC45CD">
        <w:rPr>
          <w:rFonts w:ascii="Verdana" w:hAnsi="Verdana"/>
          <w:b/>
          <w:sz w:val="20"/>
          <w:szCs w:val="20"/>
        </w:rPr>
        <w:tab/>
      </w:r>
      <w:r>
        <w:rPr>
          <w:rFonts w:ascii="Verdana" w:hAnsi="Verdana"/>
          <w:b/>
          <w:sz w:val="20"/>
          <w:szCs w:val="20"/>
        </w:rPr>
        <w:tab/>
      </w:r>
      <w:r w:rsidR="005941CC">
        <w:rPr>
          <w:rFonts w:ascii="Verdana" w:hAnsi="Verdana"/>
          <w:b/>
          <w:sz w:val="20"/>
          <w:szCs w:val="20"/>
        </w:rPr>
        <w:t>20</w:t>
      </w:r>
    </w:p>
    <w:p w:rsidR="00DC45CD" w:rsidRPr="005A1C50" w:rsidRDefault="00DC45CD" w:rsidP="005A1C50">
      <w:pPr>
        <w:rPr>
          <w:rFonts w:ascii="Verdana" w:hAnsi="Verdana"/>
          <w:b/>
        </w:rPr>
      </w:pPr>
    </w:p>
    <w:p w:rsidR="005A1C50" w:rsidRPr="005A1C50" w:rsidRDefault="005A1C50" w:rsidP="005A1C50">
      <w:pPr>
        <w:rPr>
          <w:rFonts w:ascii="Verdana" w:hAnsi="Verdana"/>
          <w:b/>
        </w:rPr>
      </w:pPr>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w:t>
      </w:r>
      <w:r w:rsidR="00AE1F91">
        <w:rPr>
          <w:rFonts w:ascii="Verdana" w:hAnsi="Verdana"/>
          <w:sz w:val="20"/>
          <w:szCs w:val="20"/>
        </w:rPr>
        <w:t>wa</w:t>
      </w:r>
      <w:r w:rsidRPr="00493F37">
        <w:rPr>
          <w:rFonts w:ascii="Verdana" w:hAnsi="Verdana"/>
          <w:sz w:val="20"/>
          <w:szCs w:val="20"/>
        </w:rPr>
        <w:t>s er sprake van meerjarige invoerings- en overgangsregelingen.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 xml:space="preserve">Het geld </w:t>
      </w:r>
      <w:r w:rsidR="00796585">
        <w:rPr>
          <w:rFonts w:ascii="Verdana" w:hAnsi="Verdana"/>
          <w:sz w:val="20"/>
          <w:szCs w:val="20"/>
        </w:rPr>
        <w:t>is</w:t>
      </w:r>
      <w:r w:rsidR="00AE1F91">
        <w:rPr>
          <w:rFonts w:ascii="Verdana" w:hAnsi="Verdana"/>
          <w:sz w:val="20"/>
          <w:szCs w:val="20"/>
        </w:rPr>
        <w:t xml:space="preserve"> </w:t>
      </w:r>
      <w:r w:rsidR="002F6F45">
        <w:rPr>
          <w:rFonts w:ascii="Verdana" w:hAnsi="Verdana"/>
          <w:sz w:val="20"/>
          <w:szCs w:val="20"/>
        </w:rPr>
        <w:t>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xml:space="preserve">, laatstelijk gewijzigd bij </w:t>
      </w:r>
      <w:proofErr w:type="spellStart"/>
      <w:r w:rsidR="002B3CD7">
        <w:rPr>
          <w:rFonts w:ascii="Verdana" w:hAnsi="Verdana"/>
          <w:sz w:val="20"/>
          <w:szCs w:val="20"/>
        </w:rPr>
        <w:t>Stcrt</w:t>
      </w:r>
      <w:proofErr w:type="spellEnd"/>
      <w:r w:rsidR="002B3CD7">
        <w:rPr>
          <w:rFonts w:ascii="Verdana" w:hAnsi="Verdana"/>
          <w:sz w:val="20"/>
          <w:szCs w:val="20"/>
        </w:rPr>
        <w:t>. 201</w:t>
      </w:r>
      <w:r w:rsidR="00AD7954">
        <w:rPr>
          <w:rFonts w:ascii="Verdana" w:hAnsi="Verdana"/>
          <w:sz w:val="20"/>
          <w:szCs w:val="20"/>
        </w:rPr>
        <w:t>8</w:t>
      </w:r>
      <w:r w:rsidR="002B3CD7">
        <w:rPr>
          <w:rFonts w:ascii="Verdana" w:hAnsi="Verdana"/>
          <w:sz w:val="20"/>
          <w:szCs w:val="20"/>
        </w:rPr>
        <w:t xml:space="preserve"> nr. 1</w:t>
      </w:r>
      <w:r w:rsidR="00AD7954">
        <w:rPr>
          <w:rFonts w:ascii="Verdana" w:hAnsi="Verdana"/>
          <w:sz w:val="20"/>
          <w:szCs w:val="20"/>
        </w:rPr>
        <w:t>4186</w:t>
      </w:r>
      <w:r w:rsidR="002B3CD7">
        <w:rPr>
          <w:rFonts w:ascii="Verdana" w:hAnsi="Verdana"/>
          <w:sz w:val="20"/>
          <w:szCs w:val="20"/>
        </w:rPr>
        <w:t xml:space="preserve">, d.d. </w:t>
      </w:r>
      <w:r w:rsidR="00AD7954">
        <w:rPr>
          <w:rFonts w:ascii="Verdana" w:hAnsi="Verdana"/>
          <w:sz w:val="20"/>
          <w:szCs w:val="20"/>
        </w:rPr>
        <w:t>14 maart</w:t>
      </w:r>
      <w:r w:rsidR="002B3CD7">
        <w:rPr>
          <w:rFonts w:ascii="Verdana" w:hAnsi="Verdana"/>
          <w:sz w:val="20"/>
          <w:szCs w:val="20"/>
        </w:rPr>
        <w:t xml:space="preserve"> 201</w:t>
      </w:r>
      <w:r w:rsidR="00AD7954">
        <w:rPr>
          <w:rFonts w:ascii="Verdana" w:hAnsi="Verdana"/>
          <w:sz w:val="20"/>
          <w:szCs w:val="20"/>
        </w:rPr>
        <w:t>8</w:t>
      </w:r>
      <w:r w:rsidR="002B3CD7">
        <w:rPr>
          <w:rFonts w:ascii="Verdana" w:hAnsi="Verdana"/>
          <w:sz w:val="20"/>
          <w:szCs w:val="20"/>
        </w:rPr>
        <w:t>.</w:t>
      </w:r>
      <w:r w:rsidR="00E254BC">
        <w:rPr>
          <w:rFonts w:ascii="Verdana" w:hAnsi="Verdana"/>
          <w:sz w:val="20"/>
          <w:szCs w:val="20"/>
        </w:rPr>
        <w:t xml:space="preserve"> </w:t>
      </w:r>
      <w:r w:rsidRPr="00493F37">
        <w:rPr>
          <w:rFonts w:ascii="Verdana" w:hAnsi="Verdana"/>
          <w:sz w:val="20"/>
          <w:szCs w:val="20"/>
        </w:rPr>
        <w:t>Het aantal samenwerkingsverbanden bedraagt 7</w:t>
      </w:r>
      <w:r w:rsidR="00AD7954">
        <w:rPr>
          <w:rFonts w:ascii="Verdana" w:hAnsi="Verdana"/>
          <w:sz w:val="20"/>
          <w:szCs w:val="20"/>
        </w:rPr>
        <w:t>5</w:t>
      </w:r>
      <w:r w:rsidRPr="00493F37">
        <w:rPr>
          <w:rFonts w:ascii="Verdana" w:hAnsi="Verdana"/>
          <w:sz w:val="20"/>
          <w:szCs w:val="20"/>
        </w:rPr>
        <w:t xml:space="preserve"> voor het PO en 7</w:t>
      </w:r>
      <w:r w:rsidR="00AD7954">
        <w:rPr>
          <w:rFonts w:ascii="Verdana" w:hAnsi="Verdana"/>
          <w:sz w:val="20"/>
          <w:szCs w:val="20"/>
        </w:rPr>
        <w:t>5</w:t>
      </w:r>
      <w:r w:rsidRPr="00493F37">
        <w:rPr>
          <w:rFonts w:ascii="Verdana" w:hAnsi="Verdana"/>
          <w:sz w:val="20"/>
          <w:szCs w:val="20"/>
        </w:rPr>
        <w:t xml:space="preserve">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opgenomen dat voor het primair onderwijs de mogelijkheid voor het samenwerkingsverband </w:t>
      </w:r>
      <w:r w:rsidR="0010216D">
        <w:rPr>
          <w:rFonts w:ascii="Verdana" w:hAnsi="Verdana"/>
          <w:sz w:val="20"/>
          <w:szCs w:val="20"/>
        </w:rPr>
        <w:t xml:space="preserve">PO </w:t>
      </w:r>
      <w:r>
        <w:rPr>
          <w:rFonts w:ascii="Verdana" w:hAnsi="Verdana"/>
          <w:sz w:val="20"/>
          <w:szCs w:val="20"/>
        </w:rPr>
        <w:t>komt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 xml:space="preserve">de peildatum </w:t>
      </w:r>
      <w:r w:rsidR="00CF7A63">
        <w:rPr>
          <w:rFonts w:ascii="Verdana" w:hAnsi="Verdana"/>
          <w:sz w:val="20"/>
          <w:szCs w:val="20"/>
        </w:rPr>
        <w:t xml:space="preserve">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Het principe van de bekostiging van het samenwerkingsverband passend onderwijs </w:t>
      </w:r>
      <w:r w:rsidR="009063CF">
        <w:rPr>
          <w:rFonts w:ascii="Verdana" w:hAnsi="Verdana"/>
          <w:sz w:val="20"/>
          <w:szCs w:val="20"/>
        </w:rPr>
        <w:t xml:space="preserve">PO </w:t>
      </w:r>
      <w:r w:rsidRPr="00493F37">
        <w:rPr>
          <w:rFonts w:ascii="Verdana" w:hAnsi="Verdana"/>
          <w:sz w:val="20"/>
          <w:szCs w:val="20"/>
        </w:rPr>
        <w:t>is hetzelfde als die voor het samenwerkingsverband WSNS</w:t>
      </w:r>
      <w:r w:rsidR="0016063F">
        <w:rPr>
          <w:rFonts w:ascii="Verdana" w:hAnsi="Verdana"/>
          <w:sz w:val="20"/>
          <w:szCs w:val="20"/>
        </w:rPr>
        <w:t xml:space="preserve"> en nu ook voor het samenwerkingsverband VO</w:t>
      </w:r>
      <w:r w:rsidRPr="00493F37">
        <w:rPr>
          <w:rFonts w:ascii="Verdana" w:hAnsi="Verdana"/>
          <w:sz w:val="20"/>
          <w:szCs w:val="20"/>
        </w:rPr>
        <w:t xml:space="preserve">.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w:t>
      </w:r>
      <w:r w:rsidR="00EB07D6">
        <w:rPr>
          <w:rFonts w:ascii="Verdana" w:hAnsi="Verdana"/>
          <w:sz w:val="20"/>
          <w:szCs w:val="20"/>
        </w:rPr>
        <w:t xml:space="preserve">die te baseren op </w:t>
      </w:r>
      <w:r w:rsidRPr="00493F37">
        <w:rPr>
          <w:rFonts w:ascii="Verdana" w:hAnsi="Verdana"/>
          <w:sz w:val="20"/>
          <w:szCs w:val="20"/>
        </w:rPr>
        <w:t>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blijven onveranderd t.o.v. de bestaande situatie. Voor het gehele funderend onderwijs </w:t>
      </w:r>
      <w:r w:rsidR="002F6F45">
        <w:rPr>
          <w:rFonts w:ascii="Verdana" w:hAnsi="Verdana"/>
          <w:sz w:val="20"/>
          <w:szCs w:val="20"/>
        </w:rPr>
        <w:t xml:space="preserve">(PO en VO) </w:t>
      </w:r>
      <w:r w:rsidRPr="00493F37">
        <w:rPr>
          <w:rFonts w:ascii="Verdana" w:hAnsi="Verdana"/>
          <w:sz w:val="20"/>
          <w:szCs w:val="20"/>
        </w:rPr>
        <w:t xml:space="preserve">wordt </w:t>
      </w:r>
      <w:r w:rsidR="001B6543">
        <w:rPr>
          <w:rFonts w:ascii="Verdana" w:hAnsi="Verdana"/>
          <w:sz w:val="20"/>
          <w:szCs w:val="20"/>
        </w:rPr>
        <w:t xml:space="preserve">nu </w:t>
      </w:r>
      <w:r w:rsidRPr="00493F37">
        <w:rPr>
          <w:rFonts w:ascii="Verdana" w:hAnsi="Verdana"/>
          <w:sz w:val="20"/>
          <w:szCs w:val="20"/>
        </w:rPr>
        <w:t>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w:t>
      </w:r>
      <w:r w:rsidR="00BA724F">
        <w:rPr>
          <w:rFonts w:ascii="Verdana" w:hAnsi="Verdana"/>
          <w:sz w:val="20"/>
          <w:szCs w:val="20"/>
        </w:rPr>
        <w:t xml:space="preserve"> (landelijk gemiddelde rond de 2,</w:t>
      </w:r>
      <w:r w:rsidR="00417186">
        <w:rPr>
          <w:rFonts w:ascii="Verdana" w:hAnsi="Verdana"/>
          <w:sz w:val="20"/>
          <w:szCs w:val="20"/>
        </w:rPr>
        <w:t>487</w:t>
      </w:r>
      <w:r w:rsidR="00BA724F">
        <w:rPr>
          <w:rFonts w:ascii="Verdana" w:hAnsi="Verdana"/>
          <w:sz w:val="20"/>
          <w:szCs w:val="20"/>
        </w:rPr>
        <w:t>%)</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w:t>
      </w:r>
      <w:r w:rsidRPr="00BA724F">
        <w:rPr>
          <w:rFonts w:ascii="Verdana" w:hAnsi="Verdana"/>
          <w:b/>
          <w:sz w:val="20"/>
          <w:szCs w:val="20"/>
        </w:rPr>
        <w:t>tel</w:t>
      </w:r>
      <w:r w:rsidRPr="00493F37">
        <w:rPr>
          <w:rFonts w:ascii="Verdana" w:hAnsi="Verdana"/>
          <w:sz w:val="20"/>
          <w:szCs w:val="20"/>
        </w:rPr>
        <w:t xml:space="preserve">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w:t>
      </w:r>
      <w:r w:rsidR="00EB07D6">
        <w:rPr>
          <w:rFonts w:ascii="Verdana" w:hAnsi="Verdana"/>
          <w:sz w:val="20"/>
          <w:szCs w:val="20"/>
        </w:rPr>
        <w:t xml:space="preserve">naast de ondersteuningsbekostiging </w:t>
      </w:r>
      <w:r w:rsidRPr="00493F37">
        <w:rPr>
          <w:rFonts w:ascii="Verdana" w:hAnsi="Verdana"/>
          <w:sz w:val="20"/>
          <w:szCs w:val="20"/>
        </w:rPr>
        <w:t xml:space="preserve">ook de </w:t>
      </w:r>
      <w:r w:rsidR="00190752">
        <w:rPr>
          <w:rFonts w:ascii="Verdana" w:hAnsi="Verdana"/>
          <w:sz w:val="20"/>
          <w:szCs w:val="20"/>
        </w:rPr>
        <w:t xml:space="preserve">materiële </w:t>
      </w:r>
      <w:r w:rsidRPr="00493F37">
        <w:rPr>
          <w:rFonts w:ascii="Verdana" w:hAnsi="Verdana"/>
          <w:sz w:val="20"/>
          <w:szCs w:val="20"/>
        </w:rPr>
        <w:t xml:space="preserve">basisbekostiging over te dragen voor het aantal leerlingen op de </w:t>
      </w:r>
      <w:r w:rsidRPr="00BA724F">
        <w:rPr>
          <w:rFonts w:ascii="Verdana" w:hAnsi="Verdana"/>
          <w:b/>
          <w:sz w:val="20"/>
          <w:szCs w:val="20"/>
        </w:rPr>
        <w:t>peil</w:t>
      </w:r>
      <w:r w:rsidRPr="00493F37">
        <w:rPr>
          <w:rFonts w:ascii="Verdana" w:hAnsi="Verdana"/>
          <w:sz w:val="20"/>
          <w:szCs w:val="20"/>
        </w:rPr>
        <w:t>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t>
      </w:r>
      <w:r w:rsidR="00EB07D6">
        <w:rPr>
          <w:rFonts w:ascii="Verdana" w:hAnsi="Verdana"/>
          <w:sz w:val="20"/>
          <w:szCs w:val="20"/>
        </w:rPr>
        <w:t xml:space="preserve">is </w:t>
      </w:r>
      <w:r w:rsidR="0016063F">
        <w:rPr>
          <w:rFonts w:ascii="Verdana" w:hAnsi="Verdana"/>
          <w:sz w:val="20"/>
          <w:szCs w:val="20"/>
        </w:rPr>
        <w:t xml:space="preserve">nu </w:t>
      </w:r>
      <w:r w:rsidR="00131AEE">
        <w:rPr>
          <w:rFonts w:ascii="Verdana" w:hAnsi="Verdana"/>
          <w:sz w:val="20"/>
          <w:szCs w:val="20"/>
        </w:rPr>
        <w:t>door v</w:t>
      </w:r>
      <w:r w:rsidR="00EB07D6">
        <w:rPr>
          <w:rFonts w:ascii="Verdana" w:hAnsi="Verdana"/>
          <w:sz w:val="20"/>
          <w:szCs w:val="20"/>
        </w:rPr>
        <w:t xml:space="preserve">eruit de meeste </w:t>
      </w:r>
      <w:r w:rsidR="00C13B3B">
        <w:rPr>
          <w:rFonts w:ascii="Verdana" w:hAnsi="Verdana"/>
          <w:sz w:val="20"/>
          <w:szCs w:val="20"/>
        </w:rPr>
        <w:t>SWV-en</w:t>
      </w:r>
      <w:r w:rsidR="00131AEE">
        <w:rPr>
          <w:rFonts w:ascii="Verdana" w:hAnsi="Verdana"/>
          <w:sz w:val="20"/>
          <w:szCs w:val="20"/>
        </w:rPr>
        <w:t xml:space="preserve"> </w:t>
      </w:r>
      <w:r w:rsidR="00EB07D6">
        <w:rPr>
          <w:rFonts w:ascii="Verdana" w:hAnsi="Verdana"/>
          <w:sz w:val="20"/>
          <w:szCs w:val="20"/>
        </w:rPr>
        <w:t>overgenomen</w:t>
      </w:r>
      <w:r w:rsidR="0016063F">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-regeling</w:t>
      </w:r>
      <w:r w:rsidR="0010216D">
        <w:rPr>
          <w:rFonts w:ascii="Verdana" w:hAnsi="Verdana"/>
          <w:sz w:val="20"/>
          <w:szCs w:val="20"/>
        </w:rPr>
        <w:t>)</w:t>
      </w:r>
      <w:r w:rsidRPr="00493F37">
        <w:rPr>
          <w:rFonts w:ascii="Verdana" w:hAnsi="Verdana"/>
          <w:sz w:val="20"/>
          <w:szCs w:val="20"/>
        </w:rPr>
        <w:t xml:space="preserve">, plus de directietoeslag en ook 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00417186">
        <w:rPr>
          <w:rFonts w:ascii="Verdana" w:hAnsi="Verdana"/>
          <w:sz w:val="20"/>
          <w:szCs w:val="20"/>
        </w:rPr>
        <w:t xml:space="preserve">op de teldatum 1 okt. T-1 </w:t>
      </w:r>
      <w:r w:rsidRPr="006A78CE">
        <w:rPr>
          <w:rFonts w:ascii="Verdana" w:hAnsi="Verdana"/>
          <w:sz w:val="20"/>
          <w:szCs w:val="20"/>
          <w:u w:val="single"/>
        </w:rPr>
        <w:t>alle</w:t>
      </w:r>
      <w:r w:rsidRPr="00493F37">
        <w:rPr>
          <w:rFonts w:ascii="Verdana" w:hAnsi="Verdana"/>
          <w:sz w:val="20"/>
          <w:szCs w:val="20"/>
        </w:rPr>
        <w:t xml:space="preserve"> </w:t>
      </w:r>
      <w:proofErr w:type="spellStart"/>
      <w:r w:rsidRPr="00493F37">
        <w:rPr>
          <w:rFonts w:ascii="Verdana" w:hAnsi="Verdana"/>
          <w:sz w:val="20"/>
          <w:szCs w:val="20"/>
        </w:rPr>
        <w:t>ondersteuningsbekos</w:t>
      </w:r>
      <w:r w:rsidR="00417186">
        <w:rPr>
          <w:rFonts w:ascii="Verdana" w:hAnsi="Verdana"/>
          <w:sz w:val="20"/>
          <w:szCs w:val="20"/>
        </w:rPr>
        <w:t>-</w:t>
      </w:r>
      <w:r w:rsidRPr="00493F37">
        <w:rPr>
          <w:rFonts w:ascii="Verdana" w:hAnsi="Verdana"/>
          <w:sz w:val="20"/>
          <w:szCs w:val="20"/>
        </w:rPr>
        <w:t>tiging</w:t>
      </w:r>
      <w:proofErr w:type="spellEnd"/>
      <w:r w:rsidRPr="00493F37">
        <w:rPr>
          <w:rFonts w:ascii="Verdana" w:hAnsi="Verdana"/>
          <w:sz w:val="20"/>
          <w:szCs w:val="20"/>
        </w:rPr>
        <w:t>. Voor de uitvoering wordt door de overheid (</w:t>
      </w:r>
      <w:r w:rsidR="0016063F">
        <w:rPr>
          <w:rFonts w:ascii="Verdana" w:hAnsi="Verdana"/>
          <w:sz w:val="20"/>
          <w:szCs w:val="20"/>
        </w:rPr>
        <w:t>DUO</w:t>
      </w:r>
      <w:r w:rsidRPr="00493F37">
        <w:rPr>
          <w:rFonts w:ascii="Verdana" w:hAnsi="Verdana"/>
          <w:sz w:val="20"/>
          <w:szCs w:val="20"/>
        </w:rPr>
        <w:t xml:space="preserve">) het </w:t>
      </w:r>
      <w:r w:rsidR="00E47CB5">
        <w:rPr>
          <w:rFonts w:ascii="Verdana" w:hAnsi="Verdana"/>
          <w:sz w:val="20"/>
          <w:szCs w:val="20"/>
        </w:rPr>
        <w:t xml:space="preserve">personele basisbedrag en </w:t>
      </w:r>
      <w:r w:rsidRPr="00493F37">
        <w:rPr>
          <w:rFonts w:ascii="Verdana" w:hAnsi="Verdana"/>
          <w:sz w:val="20"/>
          <w:szCs w:val="20"/>
        </w:rPr>
        <w:t xml:space="preserve">ondersteuningsbedrag voor de SO-school ingehouden op het ondersteuningsbudget dat </w:t>
      </w:r>
      <w:r w:rsidR="004C2B38">
        <w:rPr>
          <w:rFonts w:ascii="Verdana" w:hAnsi="Verdana"/>
          <w:sz w:val="20"/>
          <w:szCs w:val="20"/>
        </w:rPr>
        <w:t xml:space="preserve">aan </w:t>
      </w:r>
      <w:r w:rsidRPr="00493F37">
        <w:rPr>
          <w:rFonts w:ascii="Verdana" w:hAnsi="Verdana"/>
          <w:sz w:val="20"/>
          <w:szCs w:val="20"/>
        </w:rPr>
        <w:t>het samenwerkingsverband wordt toegekend. Daarbij is de bijdrage voor elke leerling SO-school afkomstig van het 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w:t>
      </w:r>
      <w:proofErr w:type="spellStart"/>
      <w:r w:rsidRPr="00493F37">
        <w:rPr>
          <w:rFonts w:ascii="Verdana" w:hAnsi="Verdana"/>
          <w:sz w:val="20"/>
          <w:szCs w:val="20"/>
        </w:rPr>
        <w:t>Prestatiebox</w:t>
      </w:r>
      <w:proofErr w:type="spellEnd"/>
      <w:r w:rsidRPr="00493F37">
        <w:rPr>
          <w:rFonts w:ascii="Verdana" w:hAnsi="Verdana"/>
          <w:sz w:val="20"/>
          <w:szCs w:val="20"/>
        </w:rPr>
        <w:t>. De toekenning v</w:t>
      </w:r>
      <w:r w:rsidR="00384F9C">
        <w:rPr>
          <w:rFonts w:ascii="Verdana" w:hAnsi="Verdana"/>
          <w:sz w:val="20"/>
          <w:szCs w:val="20"/>
        </w:rPr>
        <w:t>an</w:t>
      </w:r>
      <w:r w:rsidRPr="00493F37">
        <w:rPr>
          <w:rFonts w:ascii="Verdana" w:hAnsi="Verdana"/>
          <w:sz w:val="20"/>
          <w:szCs w:val="20"/>
        </w:rPr>
        <w:t xml:space="preserve"> de onderwijsachterstandenregeling - de </w:t>
      </w:r>
      <w:proofErr w:type="spellStart"/>
      <w:r w:rsidRPr="00493F37">
        <w:rPr>
          <w:rFonts w:ascii="Verdana" w:hAnsi="Verdana"/>
          <w:sz w:val="20"/>
          <w:szCs w:val="20"/>
        </w:rPr>
        <w:t>cumi</w:t>
      </w:r>
      <w:proofErr w:type="spellEnd"/>
      <w:r w:rsidRPr="00493F37">
        <w:rPr>
          <w:rFonts w:ascii="Verdana" w:hAnsi="Verdana"/>
          <w:sz w:val="20"/>
          <w:szCs w:val="20"/>
        </w:rPr>
        <w:t>-regeling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w:t>
      </w:r>
      <w:r w:rsidR="00EB07D6">
        <w:rPr>
          <w:rStyle w:val="Voetnootmarkering"/>
          <w:rFonts w:ascii="Verdana" w:hAnsi="Verdana"/>
          <w:sz w:val="20"/>
          <w:szCs w:val="20"/>
        </w:rPr>
        <w:footnoteReference w:id="2"/>
      </w:r>
      <w:r w:rsidRPr="00493F37">
        <w:rPr>
          <w:rFonts w:ascii="Verdana" w:hAnsi="Verdana"/>
          <w:sz w:val="20"/>
          <w:szCs w:val="20"/>
        </w:rPr>
        <w:t xml:space="preserve">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w:t>
      </w:r>
      <w:r w:rsidRPr="00493F37">
        <w:rPr>
          <w:rFonts w:ascii="Verdana" w:hAnsi="Verdana"/>
          <w:sz w:val="20"/>
          <w:szCs w:val="20"/>
        </w:rPr>
        <w:lastRenderedPageBreak/>
        <w:t>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‘voor of na 1 oktober’ hangt samen met de basisbekostiging die door het Rijk wordt bekostigd wanneer de leerling al op de reguliere teldatum 1 oktober is geteld.</w:t>
      </w:r>
    </w:p>
    <w:p w:rsidR="00AF736F" w:rsidRPr="00493F37" w:rsidRDefault="00AF736F" w:rsidP="00493F37">
      <w:pPr>
        <w:rPr>
          <w:rFonts w:ascii="Verdana" w:hAnsi="Verdana"/>
          <w:sz w:val="20"/>
          <w:szCs w:val="20"/>
        </w:rPr>
      </w:pPr>
      <w:r>
        <w:rPr>
          <w:rFonts w:ascii="Verdana" w:hAnsi="Verdana"/>
          <w:sz w:val="20"/>
          <w:szCs w:val="20"/>
        </w:rPr>
        <w:t>Omdat het samenwerkingsverband passend onderwijs ing</w:t>
      </w:r>
      <w:r w:rsidR="001B6543">
        <w:rPr>
          <w:rFonts w:ascii="Verdana" w:hAnsi="Verdana"/>
          <w:sz w:val="20"/>
          <w:szCs w:val="20"/>
        </w:rPr>
        <w:t>ing</w:t>
      </w:r>
      <w:r>
        <w:rPr>
          <w:rFonts w:ascii="Verdana" w:hAnsi="Verdana"/>
          <w:sz w:val="20"/>
          <w:szCs w:val="20"/>
        </w:rPr>
        <w:t xml:space="preserve"> per 1 augustus 2014 verv</w:t>
      </w:r>
      <w:r w:rsidR="001B6543">
        <w:rPr>
          <w:rFonts w:ascii="Verdana" w:hAnsi="Verdana"/>
          <w:sz w:val="20"/>
          <w:szCs w:val="20"/>
        </w:rPr>
        <w:t>ie</w:t>
      </w:r>
      <w:r>
        <w:rPr>
          <w:rFonts w:ascii="Verdana" w:hAnsi="Verdana"/>
          <w:sz w:val="20"/>
          <w:szCs w:val="20"/>
        </w:rPr>
        <w:t>len alle ‘oude’ verplichtingen van het samenwerkingsverband WSNS. Dat h</w:t>
      </w:r>
      <w:r w:rsidR="00BA724F">
        <w:rPr>
          <w:rFonts w:ascii="Verdana" w:hAnsi="Verdana"/>
          <w:sz w:val="20"/>
          <w:szCs w:val="20"/>
        </w:rPr>
        <w:t>ield</w:t>
      </w:r>
      <w:r>
        <w:rPr>
          <w:rFonts w:ascii="Verdana" w:hAnsi="Verdana"/>
          <w:sz w:val="20"/>
          <w:szCs w:val="20"/>
        </w:rPr>
        <w:t xml:space="preserve"> ook in dat het ‘oude’ grensverkeer verv</w:t>
      </w:r>
      <w:r w:rsidR="00BA724F">
        <w:rPr>
          <w:rFonts w:ascii="Verdana" w:hAnsi="Verdana"/>
          <w:sz w:val="20"/>
          <w:szCs w:val="20"/>
        </w:rPr>
        <w:t>iel</w:t>
      </w:r>
      <w:r>
        <w:rPr>
          <w:rFonts w:ascii="Verdana" w:hAnsi="Verdana"/>
          <w:sz w:val="20"/>
          <w:szCs w:val="20"/>
        </w:rPr>
        <w:t xml:space="preserve"> en weer opnieuw </w:t>
      </w:r>
      <w:r w:rsidR="00BA724F">
        <w:rPr>
          <w:rFonts w:ascii="Verdana" w:hAnsi="Verdana"/>
          <w:sz w:val="20"/>
          <w:szCs w:val="20"/>
        </w:rPr>
        <w:t>startte</w:t>
      </w:r>
      <w:r>
        <w:rPr>
          <w:rFonts w:ascii="Verdana" w:hAnsi="Verdana"/>
          <w:sz w:val="20"/>
          <w:szCs w:val="20"/>
        </w:rPr>
        <w:t xml:space="preserve"> per 1 augustus 2014 en dan volgens de T-1 systematiek. </w:t>
      </w:r>
      <w:r w:rsidR="00166B81">
        <w:rPr>
          <w:rFonts w:ascii="Verdana" w:hAnsi="Verdana"/>
          <w:sz w:val="20"/>
          <w:szCs w:val="20"/>
        </w:rPr>
        <w:t>Er was</w:t>
      </w:r>
      <w:r>
        <w:rPr>
          <w:rFonts w:ascii="Verdana" w:hAnsi="Verdana"/>
          <w:sz w:val="20"/>
          <w:szCs w:val="20"/>
        </w:rPr>
        <w:t xml:space="preserve"> in het schooljaar 2014-2015 </w:t>
      </w:r>
      <w:r w:rsidR="00E55622">
        <w:rPr>
          <w:rFonts w:ascii="Verdana" w:hAnsi="Verdana"/>
          <w:sz w:val="20"/>
          <w:szCs w:val="20"/>
        </w:rPr>
        <w:t xml:space="preserve">dus nog geen overdrachtsverplichting voor het grensverkeer en de bekostiging </w:t>
      </w:r>
      <w:r w:rsidR="00C13B3B">
        <w:rPr>
          <w:rFonts w:ascii="Verdana" w:hAnsi="Verdana"/>
          <w:sz w:val="20"/>
          <w:szCs w:val="20"/>
        </w:rPr>
        <w:t xml:space="preserve">vond </w:t>
      </w:r>
      <w:r w:rsidR="00E55622">
        <w:rPr>
          <w:rFonts w:ascii="Verdana" w:hAnsi="Verdana"/>
          <w:sz w:val="20"/>
          <w:szCs w:val="20"/>
        </w:rPr>
        <w:t xml:space="preserve">plaats op basis van het aantal leerlingen op de teldatum 1 okt. 2013. </w:t>
      </w:r>
      <w:r w:rsidR="00CF7A63">
        <w:rPr>
          <w:rFonts w:ascii="Verdana" w:hAnsi="Verdana"/>
          <w:sz w:val="20"/>
          <w:szCs w:val="20"/>
        </w:rPr>
        <w:t>I</w:t>
      </w:r>
      <w:r w:rsidR="00E55622">
        <w:rPr>
          <w:rFonts w:ascii="Verdana" w:hAnsi="Verdana"/>
          <w:sz w:val="20"/>
          <w:szCs w:val="20"/>
        </w:rPr>
        <w:t>n het schooljaar 2015-2016 is er weer sprake van een overdrachtsverplichting voor grensverkeer, namelijk voor die leerlingen op een SBO die afkomstig zijn uit een ander SWV en in 2014-2015 toelaatbaar zijn verklaard</w:t>
      </w:r>
      <w:r w:rsidR="001B6543">
        <w:rPr>
          <w:rFonts w:ascii="Verdana" w:hAnsi="Verdana"/>
          <w:sz w:val="20"/>
          <w:szCs w:val="20"/>
        </w:rPr>
        <w:t xml:space="preserve"> (</w:t>
      </w:r>
      <w:r w:rsidR="001654BE">
        <w:rPr>
          <w:rFonts w:ascii="Verdana" w:hAnsi="Verdana"/>
          <w:sz w:val="20"/>
          <w:szCs w:val="20"/>
        </w:rPr>
        <w:t>eventueel o</w:t>
      </w:r>
      <w:r w:rsidR="001B6543">
        <w:rPr>
          <w:rFonts w:ascii="Verdana" w:hAnsi="Verdana"/>
          <w:sz w:val="20"/>
          <w:szCs w:val="20"/>
        </w:rPr>
        <w:t xml:space="preserve">p basis van een </w:t>
      </w:r>
      <w:r w:rsidR="001654BE">
        <w:rPr>
          <w:rFonts w:ascii="Verdana" w:hAnsi="Verdana"/>
          <w:sz w:val="20"/>
          <w:szCs w:val="20"/>
        </w:rPr>
        <w:t>eerdere PCL-beschikking afgegeven voor 1 aug. 2014)</w:t>
      </w:r>
      <w:r w:rsidR="00E55622">
        <w:rPr>
          <w:rFonts w:ascii="Verdana" w:hAnsi="Verdana"/>
          <w:sz w:val="20"/>
          <w:szCs w:val="20"/>
        </w:rPr>
        <w:t xml:space="preserve"> en in 2015-2016 nog als leerling </w:t>
      </w:r>
      <w:r w:rsidR="00090FA6">
        <w:rPr>
          <w:rFonts w:ascii="Verdana" w:hAnsi="Verdana"/>
          <w:sz w:val="20"/>
          <w:szCs w:val="20"/>
        </w:rPr>
        <w:t xml:space="preserve">op de SBO </w:t>
      </w:r>
      <w:r w:rsidR="00E55622">
        <w:rPr>
          <w:rFonts w:ascii="Verdana" w:hAnsi="Verdana"/>
          <w:sz w:val="20"/>
          <w:szCs w:val="20"/>
        </w:rPr>
        <w:t xml:space="preserve">zijn ingeschreven. De omvang van de overdrachtsbekostiging zal de komende jaren dus nog toenemen </w:t>
      </w:r>
      <w:r w:rsidR="00417186">
        <w:rPr>
          <w:rFonts w:ascii="Verdana" w:hAnsi="Verdana"/>
          <w:sz w:val="20"/>
          <w:szCs w:val="20"/>
        </w:rPr>
        <w:t>zo</w:t>
      </w:r>
      <w:r w:rsidR="00E55622">
        <w:rPr>
          <w:rFonts w:ascii="Verdana" w:hAnsi="Verdana"/>
          <w:sz w:val="20"/>
          <w:szCs w:val="20"/>
        </w:rPr>
        <w:t xml:space="preserve">dat </w:t>
      </w:r>
      <w:r w:rsidR="00417186">
        <w:rPr>
          <w:rFonts w:ascii="Verdana" w:hAnsi="Verdana"/>
          <w:sz w:val="20"/>
          <w:szCs w:val="20"/>
        </w:rPr>
        <w:t xml:space="preserve">nu, </w:t>
      </w:r>
      <w:r w:rsidR="00E55622">
        <w:rPr>
          <w:rFonts w:ascii="Verdana" w:hAnsi="Verdana"/>
          <w:sz w:val="20"/>
          <w:szCs w:val="20"/>
        </w:rPr>
        <w:t>na zo’n</w:t>
      </w:r>
      <w:r w:rsidR="001654BE">
        <w:rPr>
          <w:rFonts w:ascii="Verdana" w:hAnsi="Verdana"/>
          <w:sz w:val="20"/>
          <w:szCs w:val="20"/>
        </w:rPr>
        <w:t xml:space="preserve"> </w:t>
      </w:r>
      <w:r w:rsidR="00E55622">
        <w:rPr>
          <w:rFonts w:ascii="Verdana" w:hAnsi="Verdana"/>
          <w:sz w:val="20"/>
          <w:szCs w:val="20"/>
        </w:rPr>
        <w:t>4</w:t>
      </w:r>
      <w:r w:rsidR="001654BE">
        <w:rPr>
          <w:rFonts w:ascii="Verdana" w:hAnsi="Verdana"/>
          <w:sz w:val="20"/>
          <w:szCs w:val="20"/>
        </w:rPr>
        <w:t xml:space="preserve"> </w:t>
      </w:r>
      <w:r w:rsidR="001654BE">
        <w:t>à</w:t>
      </w:r>
      <w:r w:rsidR="00E55622">
        <w:rPr>
          <w:rFonts w:ascii="Verdana" w:hAnsi="Verdana"/>
          <w:sz w:val="20"/>
          <w:szCs w:val="20"/>
        </w:rPr>
        <w:t xml:space="preserve"> 5 jaar</w:t>
      </w:r>
      <w:r w:rsidR="00417186">
        <w:rPr>
          <w:rFonts w:ascii="Verdana" w:hAnsi="Verdana"/>
          <w:sz w:val="20"/>
          <w:szCs w:val="20"/>
        </w:rPr>
        <w:t>,</w:t>
      </w:r>
      <w:r w:rsidR="00E55622">
        <w:rPr>
          <w:rFonts w:ascii="Verdana" w:hAnsi="Verdana"/>
          <w:sz w:val="20"/>
          <w:szCs w:val="20"/>
        </w:rPr>
        <w:t xml:space="preserve"> een stabilisatie </w:t>
      </w:r>
      <w:r w:rsidR="00417186">
        <w:rPr>
          <w:rFonts w:ascii="Verdana" w:hAnsi="Verdana"/>
          <w:sz w:val="20"/>
          <w:szCs w:val="20"/>
        </w:rPr>
        <w:t xml:space="preserve">is </w:t>
      </w:r>
      <w:r w:rsidR="00E55622">
        <w:rPr>
          <w:rFonts w:ascii="Verdana" w:hAnsi="Verdana"/>
          <w:sz w:val="20"/>
          <w:szCs w:val="20"/>
        </w:rPr>
        <w:t>op</w:t>
      </w:r>
      <w:r w:rsidR="00417186">
        <w:rPr>
          <w:rFonts w:ascii="Verdana" w:hAnsi="Verdana"/>
          <w:sz w:val="20"/>
          <w:szCs w:val="20"/>
        </w:rPr>
        <w:t>ge</w:t>
      </w:r>
      <w:r w:rsidR="00E55622">
        <w:rPr>
          <w:rFonts w:ascii="Verdana" w:hAnsi="Verdana"/>
          <w:sz w:val="20"/>
          <w:szCs w:val="20"/>
        </w:rPr>
        <w:t>tre</w:t>
      </w:r>
      <w:r w:rsidR="00417186">
        <w:rPr>
          <w:rFonts w:ascii="Verdana" w:hAnsi="Verdana"/>
          <w:sz w:val="20"/>
          <w:szCs w:val="20"/>
        </w:rPr>
        <w:t>den</w:t>
      </w:r>
      <w:r w:rsidR="00E55622">
        <w:rPr>
          <w:rFonts w:ascii="Verdana" w:hAnsi="Verdana"/>
          <w:sz w:val="20"/>
          <w:szCs w:val="20"/>
        </w:rPr>
        <w:t xml:space="preserve"> in de instroom en uitstroom van de grensverkeerleerlingen.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w:t>
      </w:r>
      <w:r w:rsidR="00166B81">
        <w:rPr>
          <w:rFonts w:ascii="Verdana" w:hAnsi="Verdana"/>
          <w:sz w:val="20"/>
          <w:szCs w:val="20"/>
        </w:rPr>
        <w:t xml:space="preserve">in principe </w:t>
      </w:r>
      <w:r w:rsidRPr="00493F37">
        <w:rPr>
          <w:rFonts w:ascii="Verdana" w:hAnsi="Verdana"/>
          <w:sz w:val="20"/>
          <w:szCs w:val="20"/>
        </w:rPr>
        <w:t xml:space="preserve">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20.000 leerlingen. Er zijn </w:t>
      </w:r>
      <w:r w:rsidR="005D1132">
        <w:rPr>
          <w:rFonts w:ascii="Verdana" w:hAnsi="Verdana"/>
          <w:sz w:val="20"/>
          <w:szCs w:val="20"/>
        </w:rPr>
        <w:t>2</w:t>
      </w:r>
      <w:r w:rsidR="007532D8">
        <w:rPr>
          <w:rFonts w:ascii="Verdana" w:hAnsi="Verdana"/>
          <w:sz w:val="20"/>
          <w:szCs w:val="20"/>
        </w:rPr>
        <w:t>77</w:t>
      </w:r>
      <w:r w:rsidRPr="00493F37">
        <w:rPr>
          <w:rFonts w:ascii="Verdana" w:hAnsi="Verdana"/>
          <w:sz w:val="20"/>
          <w:szCs w:val="20"/>
        </w:rPr>
        <w:t xml:space="preserve"> scholen voor SBO </w:t>
      </w:r>
      <w:r w:rsidR="007532D8">
        <w:rPr>
          <w:rFonts w:ascii="Verdana" w:hAnsi="Verdana"/>
          <w:sz w:val="20"/>
          <w:szCs w:val="20"/>
        </w:rPr>
        <w:t xml:space="preserve">met 11 nevenvestigingen </w:t>
      </w:r>
      <w:r w:rsidR="005D1132">
        <w:rPr>
          <w:rFonts w:ascii="Verdana" w:hAnsi="Verdana"/>
          <w:sz w:val="20"/>
          <w:szCs w:val="20"/>
        </w:rPr>
        <w:t>(1 okt. 201</w:t>
      </w:r>
      <w:r w:rsidR="007532D8">
        <w:rPr>
          <w:rFonts w:ascii="Verdana" w:hAnsi="Verdana"/>
          <w:sz w:val="20"/>
          <w:szCs w:val="20"/>
        </w:rPr>
        <w:t>6</w:t>
      </w:r>
      <w:r w:rsidR="005D1132">
        <w:rPr>
          <w:rFonts w:ascii="Verdana" w:hAnsi="Verdana"/>
          <w:sz w:val="20"/>
          <w:szCs w:val="20"/>
        </w:rPr>
        <w:t xml:space="preserve">) </w:t>
      </w:r>
      <w:r w:rsidRPr="00493F37">
        <w:rPr>
          <w:rFonts w:ascii="Verdana" w:hAnsi="Verdana"/>
          <w:sz w:val="20"/>
          <w:szCs w:val="20"/>
        </w:rPr>
        <w:t xml:space="preserve">wat betekent dat elk van de </w:t>
      </w:r>
      <w:r w:rsidR="00F56098">
        <w:rPr>
          <w:rFonts w:ascii="Verdana" w:hAnsi="Verdana"/>
          <w:sz w:val="20"/>
          <w:szCs w:val="20"/>
        </w:rPr>
        <w:t xml:space="preserve">voormalige </w:t>
      </w:r>
      <w:r w:rsidRPr="00493F37">
        <w:rPr>
          <w:rFonts w:ascii="Verdana" w:hAnsi="Verdana"/>
          <w:sz w:val="20"/>
          <w:szCs w:val="20"/>
        </w:rPr>
        <w:t xml:space="preserve"> samenwerkingsverbanden </w:t>
      </w:r>
      <w:r w:rsidR="00F56098">
        <w:rPr>
          <w:rFonts w:ascii="Verdana" w:hAnsi="Verdana"/>
          <w:sz w:val="20"/>
          <w:szCs w:val="20"/>
        </w:rPr>
        <w:t xml:space="preserve">WSNS </w:t>
      </w:r>
      <w:r w:rsidR="00F14F69">
        <w:rPr>
          <w:rFonts w:ascii="Verdana" w:hAnsi="Verdana"/>
          <w:sz w:val="20"/>
          <w:szCs w:val="20"/>
        </w:rPr>
        <w:t xml:space="preserve">gemiddeld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 xml:space="preserve">n SBO heeft. Na de schaalvergroting heeft ieder samenwerkingsverband gemiddeld </w:t>
      </w:r>
      <w:r w:rsidR="007532D8">
        <w:rPr>
          <w:rFonts w:ascii="Verdana" w:hAnsi="Verdana"/>
          <w:sz w:val="20"/>
          <w:szCs w:val="20"/>
        </w:rPr>
        <w:t xml:space="preserve">zo’n </w:t>
      </w:r>
      <w:r w:rsidRPr="00493F37">
        <w:rPr>
          <w:rFonts w:ascii="Verdana" w:hAnsi="Verdana"/>
          <w:sz w:val="20"/>
          <w:szCs w:val="20"/>
        </w:rPr>
        <w:t xml:space="preserve">4 </w:t>
      </w:r>
      <w:proofErr w:type="spellStart"/>
      <w:r w:rsidRPr="00493F37">
        <w:rPr>
          <w:rFonts w:ascii="Verdana" w:hAnsi="Verdana"/>
          <w:sz w:val="20"/>
          <w:szCs w:val="20"/>
        </w:rPr>
        <w:t>SBO’s</w:t>
      </w:r>
      <w:proofErr w:type="spellEnd"/>
      <w:r w:rsidRPr="00493F37">
        <w:rPr>
          <w:rFonts w:ascii="Verdana" w:hAnsi="Verdana"/>
          <w:sz w:val="20"/>
          <w:szCs w:val="20"/>
        </w:rPr>
        <w:t>. Gemiddeld zullen er ook 16 besturen bij ieder samenwerkingsverband betrokken zijn en 100 scholen voor primair onderwijs (92 basisscholen, 4 scholen SBO en 5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w:t>
      </w:r>
      <w:r w:rsidR="007532D8">
        <w:rPr>
          <w:rFonts w:ascii="Verdana" w:hAnsi="Verdana"/>
          <w:sz w:val="20"/>
          <w:szCs w:val="20"/>
        </w:rPr>
        <w:t>vestigingen</w:t>
      </w:r>
      <w:r w:rsidRPr="00493F37">
        <w:rPr>
          <w:rFonts w:ascii="Verdana" w:hAnsi="Verdana"/>
          <w:sz w:val="20"/>
          <w:szCs w:val="20"/>
        </w:rPr>
        <w:t xml:space="preserve">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Op die wijze kan een school voor (speciaal) basisonderwijs met meerdere vestigingen in principe deelnemen aan meerdere samenwerkingsverbanden. In de praktijk </w:t>
      </w:r>
      <w:r w:rsidR="00F14F69">
        <w:rPr>
          <w:rFonts w:ascii="Verdana" w:hAnsi="Verdana"/>
          <w:sz w:val="20"/>
          <w:szCs w:val="20"/>
        </w:rPr>
        <w:t>komt</w:t>
      </w:r>
      <w:r w:rsidRPr="00493F37">
        <w:rPr>
          <w:rFonts w:ascii="Verdana" w:hAnsi="Verdana"/>
          <w:sz w:val="20"/>
          <w:szCs w:val="20"/>
        </w:rPr>
        <w:t xml:space="preserve"> dit echter </w:t>
      </w:r>
      <w:r w:rsidR="003B3D16">
        <w:rPr>
          <w:rFonts w:ascii="Verdana" w:hAnsi="Verdana"/>
          <w:sz w:val="20"/>
          <w:szCs w:val="20"/>
        </w:rPr>
        <w:t xml:space="preserve">niet </w:t>
      </w:r>
      <w:r w:rsidRPr="00493F37">
        <w:rPr>
          <w:rFonts w:ascii="Verdana" w:hAnsi="Verdana"/>
          <w:sz w:val="20"/>
          <w:szCs w:val="20"/>
        </w:rPr>
        <w:t>voor</w:t>
      </w:r>
      <w:r w:rsidR="00F14F69">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betekent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betekent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3"/>
      </w:r>
      <w:r w:rsidRPr="00493F37">
        <w:rPr>
          <w:rFonts w:ascii="Verdana" w:hAnsi="Verdana"/>
          <w:sz w:val="20"/>
          <w:szCs w:val="20"/>
        </w:rPr>
        <w:t>. Zo zal bijv. in een grotere gemeente waarin drie samenwerkingsverbanden naar denominatie opere</w:t>
      </w:r>
      <w:r w:rsidR="00F56098">
        <w:rPr>
          <w:rFonts w:ascii="Verdana" w:hAnsi="Verdana"/>
          <w:sz w:val="20"/>
          <w:szCs w:val="20"/>
        </w:rPr>
        <w:t>erd</w:t>
      </w:r>
      <w:r w:rsidRPr="00493F37">
        <w:rPr>
          <w:rFonts w:ascii="Verdana" w:hAnsi="Verdana"/>
          <w:sz w:val="20"/>
          <w:szCs w:val="20"/>
        </w:rPr>
        <w:t xml:space="preserve">en (openbaar, katholiek en protestants), nu samen één samenwerkingsverband vormen </w:t>
      </w:r>
      <w:r w:rsidR="00F56098">
        <w:rPr>
          <w:rFonts w:ascii="Verdana" w:hAnsi="Verdana"/>
          <w:sz w:val="20"/>
          <w:szCs w:val="20"/>
        </w:rPr>
        <w:t xml:space="preserve">waardoor </w:t>
      </w:r>
      <w:r w:rsidRPr="00493F37">
        <w:rPr>
          <w:rFonts w:ascii="Verdana" w:hAnsi="Verdana"/>
          <w:sz w:val="20"/>
          <w:szCs w:val="20"/>
        </w:rPr>
        <w:t xml:space="preserve">het grensverkeer vrijwel tot </w:t>
      </w:r>
      <w:r w:rsidR="00F56098">
        <w:rPr>
          <w:rFonts w:ascii="Verdana" w:hAnsi="Verdana"/>
          <w:sz w:val="20"/>
          <w:szCs w:val="20"/>
        </w:rPr>
        <w:t>nul is</w:t>
      </w:r>
      <w:r w:rsidRPr="00493F37">
        <w:rPr>
          <w:rFonts w:ascii="Verdana" w:hAnsi="Verdana"/>
          <w:sz w:val="20"/>
          <w:szCs w:val="20"/>
        </w:rPr>
        <w:t xml:space="preserve"> gereduceerd, terwijl het daarvoor omvangrijk kon zijn.</w:t>
      </w:r>
      <w:r w:rsidR="00F65191">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A86588">
      <w:pPr>
        <w:rPr>
          <w:rFonts w:ascii="Verdana" w:hAnsi="Verdana"/>
          <w:sz w:val="20"/>
          <w:szCs w:val="20"/>
        </w:rPr>
      </w:pPr>
      <w:r w:rsidRPr="00493F37">
        <w:rPr>
          <w:rFonts w:ascii="Verdana" w:hAnsi="Verdana"/>
          <w:sz w:val="20"/>
          <w:szCs w:val="20"/>
        </w:rPr>
        <w:t xml:space="preserve">Bij de vorming van de nieuwe samenwerkingsverbanden </w:t>
      </w:r>
      <w:r w:rsidR="00A86588">
        <w:rPr>
          <w:rFonts w:ascii="Verdana" w:hAnsi="Verdana"/>
          <w:sz w:val="20"/>
          <w:szCs w:val="20"/>
        </w:rPr>
        <w:t>is</w:t>
      </w:r>
      <w:r w:rsidRPr="00493F37">
        <w:rPr>
          <w:rFonts w:ascii="Verdana" w:hAnsi="Verdana"/>
          <w:sz w:val="20"/>
          <w:szCs w:val="20"/>
        </w:rPr>
        <w:t xml:space="preserve"> ook wel de mogelijkheid geopperd van het vormen van zogenaamde kamers. Daarmee wordt gedoeld op het min of meer voort</w:t>
      </w:r>
      <w:r w:rsidR="00F56098">
        <w:rPr>
          <w:rFonts w:ascii="Verdana" w:hAnsi="Verdana"/>
          <w:sz w:val="20"/>
          <w:szCs w:val="20"/>
        </w:rPr>
        <w:t>best</w:t>
      </w:r>
      <w:r w:rsidRPr="00493F37">
        <w:rPr>
          <w:rFonts w:ascii="Verdana" w:hAnsi="Verdana"/>
          <w:sz w:val="20"/>
          <w:szCs w:val="20"/>
        </w:rPr>
        <w:t xml:space="preserve">aan </w:t>
      </w:r>
      <w:r w:rsidR="00F56098">
        <w:rPr>
          <w:rFonts w:ascii="Verdana" w:hAnsi="Verdana"/>
          <w:sz w:val="20"/>
          <w:szCs w:val="20"/>
        </w:rPr>
        <w:t>van</w:t>
      </w:r>
      <w:r w:rsidRPr="00493F37">
        <w:rPr>
          <w:rFonts w:ascii="Verdana" w:hAnsi="Verdana"/>
          <w:sz w:val="20"/>
          <w:szCs w:val="20"/>
        </w:rPr>
        <w:t xml:space="preserve"> de ‘oude’ samenwerkingsverbanden 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r w:rsidR="003713AE">
        <w:rPr>
          <w:rFonts w:ascii="Verdana" w:hAnsi="Verdana"/>
          <w:sz w:val="20"/>
          <w:szCs w:val="20"/>
        </w:rPr>
        <w:t>Het wordt dan ook met klem ontraden.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blijft qua systematiek onveranderd. Er vindt bekostiging door het Rijk plaats van de SBO enerzijds en </w:t>
      </w:r>
      <w:r w:rsidR="00F56098">
        <w:rPr>
          <w:rFonts w:ascii="Verdana" w:hAnsi="Verdana"/>
          <w:sz w:val="20"/>
          <w:szCs w:val="20"/>
        </w:rPr>
        <w:t xml:space="preserve">van </w:t>
      </w:r>
      <w:r w:rsidRPr="00493F37">
        <w:rPr>
          <w:rFonts w:ascii="Verdana" w:hAnsi="Verdana"/>
          <w:sz w:val="20"/>
          <w:szCs w:val="20"/>
        </w:rPr>
        <w:t xml:space="preserve">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afgerond 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lastRenderedPageBreak/>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 xml:space="preserve">-regeling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5"/>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samenwerkingsverbanden </w:t>
      </w:r>
      <w:r w:rsidR="00F65191">
        <w:rPr>
          <w:rFonts w:ascii="Verdana" w:hAnsi="Verdana"/>
          <w:sz w:val="20"/>
          <w:szCs w:val="20"/>
        </w:rPr>
        <w:t xml:space="preserve">WSNS </w:t>
      </w:r>
      <w:r w:rsidRPr="00493F37">
        <w:rPr>
          <w:rFonts w:ascii="Verdana" w:hAnsi="Verdana"/>
          <w:sz w:val="20"/>
          <w:szCs w:val="20"/>
        </w:rPr>
        <w:t>er</w:t>
      </w:r>
      <w:r w:rsidR="00655DC6">
        <w:rPr>
          <w:rFonts w:ascii="Verdana" w:hAnsi="Verdana"/>
          <w:sz w:val="20"/>
          <w:szCs w:val="20"/>
        </w:rPr>
        <w:t xml:space="preserve"> </w:t>
      </w:r>
      <w:r w:rsidRPr="00493F37">
        <w:rPr>
          <w:rFonts w:ascii="Verdana" w:hAnsi="Verdana"/>
          <w:sz w:val="20"/>
          <w:szCs w:val="20"/>
        </w:rPr>
        <w:t>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 xml:space="preserve">et is te verwachten dat in de toekomst </w:t>
      </w:r>
      <w:r w:rsidR="00131993">
        <w:rPr>
          <w:rFonts w:ascii="Verdana" w:hAnsi="Verdana"/>
          <w:sz w:val="20"/>
          <w:szCs w:val="20"/>
        </w:rPr>
        <w:t>(</w:t>
      </w:r>
      <w:r w:rsidR="00E47CB5">
        <w:rPr>
          <w:rFonts w:ascii="Verdana" w:hAnsi="Verdana"/>
          <w:sz w:val="20"/>
          <w:szCs w:val="20"/>
        </w:rPr>
        <w:t xml:space="preserve">mogelijk </w:t>
      </w:r>
      <w:r w:rsidR="00131993">
        <w:rPr>
          <w:rFonts w:ascii="Verdana" w:hAnsi="Verdana"/>
          <w:sz w:val="20"/>
          <w:szCs w:val="20"/>
        </w:rPr>
        <w:t>vanaf ongeveer 202</w:t>
      </w:r>
      <w:r w:rsidR="003713AE">
        <w:rPr>
          <w:rFonts w:ascii="Verdana" w:hAnsi="Verdana"/>
          <w:sz w:val="20"/>
          <w:szCs w:val="20"/>
        </w:rPr>
        <w:t>2</w:t>
      </w:r>
      <w:r w:rsidR="00131993">
        <w:rPr>
          <w:rFonts w:ascii="Verdana" w:hAnsi="Verdana"/>
          <w:sz w:val="20"/>
          <w:szCs w:val="20"/>
        </w:rPr>
        <w:t xml:space="preserve">) </w:t>
      </w:r>
      <w:r w:rsidRPr="00493F37">
        <w:rPr>
          <w:rFonts w:ascii="Verdana" w:hAnsi="Verdana"/>
          <w:sz w:val="20"/>
          <w:szCs w:val="20"/>
        </w:rPr>
        <w:t xml:space="preserve">door de SWV-en geen rekening meer </w:t>
      </w:r>
      <w:r w:rsidR="009C73E6">
        <w:rPr>
          <w:rFonts w:ascii="Verdana" w:hAnsi="Verdana"/>
          <w:sz w:val="20"/>
          <w:szCs w:val="20"/>
        </w:rPr>
        <w:t xml:space="preserve">hoeft te </w:t>
      </w:r>
      <w:r w:rsidRPr="00493F37">
        <w:rPr>
          <w:rFonts w:ascii="Verdana" w:hAnsi="Verdana"/>
          <w:sz w:val="20"/>
          <w:szCs w:val="20"/>
        </w:rPr>
        <w:t>word</w:t>
      </w:r>
      <w:r w:rsidR="009C73E6">
        <w:rPr>
          <w:rFonts w:ascii="Verdana" w:hAnsi="Verdana"/>
          <w:sz w:val="20"/>
          <w:szCs w:val="20"/>
        </w:rPr>
        <w:t>en</w:t>
      </w:r>
      <w:r w:rsidRPr="00493F37">
        <w:rPr>
          <w:rFonts w:ascii="Verdana" w:hAnsi="Verdana"/>
          <w:sz w:val="20"/>
          <w:szCs w:val="20"/>
        </w:rPr>
        <w:t xml:space="preserve">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4510A4">
        <w:rPr>
          <w:rFonts w:ascii="Verdana" w:hAnsi="Verdana"/>
          <w:sz w:val="20"/>
          <w:szCs w:val="20"/>
        </w:rPr>
        <w:t>74,</w:t>
      </w:r>
      <w:r w:rsidR="003713AE">
        <w:rPr>
          <w:rFonts w:ascii="Verdana" w:hAnsi="Verdana"/>
          <w:sz w:val="20"/>
          <w:szCs w:val="20"/>
        </w:rPr>
        <w:t>90</w:t>
      </w:r>
      <w:r w:rsidRPr="00493F37">
        <w:rPr>
          <w:rFonts w:ascii="Verdana" w:hAnsi="Verdana"/>
          <w:sz w:val="20"/>
          <w:szCs w:val="20"/>
        </w:rPr>
        <w:t xml:space="preserve"> (201</w:t>
      </w:r>
      <w:r w:rsidR="003713AE">
        <w:rPr>
          <w:rFonts w:ascii="Verdana" w:hAnsi="Verdana"/>
          <w:sz w:val="20"/>
          <w:szCs w:val="20"/>
        </w:rPr>
        <w:t>9</w:t>
      </w:r>
      <w:r w:rsidRPr="00493F37">
        <w:rPr>
          <w:rFonts w:ascii="Verdana" w:hAnsi="Verdana"/>
          <w:sz w:val="20"/>
          <w:szCs w:val="20"/>
        </w:rPr>
        <w:t>-20</w:t>
      </w:r>
      <w:r w:rsidR="003713AE">
        <w:rPr>
          <w:rFonts w:ascii="Verdana" w:hAnsi="Verdana"/>
          <w:sz w:val="20"/>
          <w:szCs w:val="20"/>
        </w:rPr>
        <w:t>20</w:t>
      </w:r>
      <w:r w:rsidR="00C94919">
        <w:rPr>
          <w:rFonts w:ascii="Verdana" w:hAnsi="Verdana"/>
          <w:sz w:val="20"/>
          <w:szCs w:val="20"/>
        </w:rPr>
        <w:t xml:space="preserve">, </w:t>
      </w:r>
      <w:r w:rsidR="003713AE">
        <w:rPr>
          <w:rFonts w:ascii="Verdana" w:hAnsi="Verdana"/>
          <w:sz w:val="20"/>
          <w:szCs w:val="20"/>
        </w:rPr>
        <w:t>apr</w:t>
      </w:r>
      <w:r w:rsidR="002735A4">
        <w:rPr>
          <w:rFonts w:ascii="Verdana" w:hAnsi="Verdana"/>
          <w:sz w:val="20"/>
          <w:szCs w:val="20"/>
        </w:rPr>
        <w:t>.</w:t>
      </w:r>
      <w:r w:rsidR="00C94919">
        <w:rPr>
          <w:rFonts w:ascii="Verdana" w:hAnsi="Verdana"/>
          <w:sz w:val="20"/>
          <w:szCs w:val="20"/>
        </w:rPr>
        <w:t xml:space="preserve"> 201</w:t>
      </w:r>
      <w:r w:rsidR="003713AE">
        <w:rPr>
          <w:rFonts w:ascii="Verdana" w:hAnsi="Verdana"/>
          <w:sz w:val="20"/>
          <w:szCs w:val="20"/>
        </w:rPr>
        <w:t>9</w:t>
      </w:r>
      <w:r w:rsidRPr="00493F37">
        <w:rPr>
          <w:rFonts w:ascii="Verdana" w:hAnsi="Verdana"/>
          <w:sz w:val="20"/>
          <w:szCs w:val="20"/>
        </w:rPr>
        <w:t xml:space="preserve">). Toekenning voor de materiële exploitatie per leerling </w:t>
      </w:r>
      <w:r w:rsidRPr="002735A4">
        <w:rPr>
          <w:rFonts w:ascii="Verdana" w:hAnsi="Verdana"/>
          <w:sz w:val="20"/>
          <w:szCs w:val="20"/>
        </w:rPr>
        <w:t xml:space="preserve">basisschool: </w:t>
      </w:r>
      <w:r w:rsidR="004510A4">
        <w:rPr>
          <w:rFonts w:ascii="Verdana" w:hAnsi="Verdana"/>
          <w:sz w:val="20"/>
          <w:szCs w:val="20"/>
        </w:rPr>
        <w:t>€ 7,72 in 2019 (24 september 2018)</w:t>
      </w:r>
      <w:r w:rsidRPr="002735A4">
        <w:rPr>
          <w:rFonts w:ascii="Verdana" w:hAnsi="Verdana"/>
          <w:sz w:val="20"/>
          <w:szCs w:val="20"/>
        </w:rPr>
        <w:t>.</w:t>
      </w:r>
      <w:r w:rsidR="003713AE">
        <w:rPr>
          <w:rFonts w:ascii="Verdana" w:hAnsi="Verdana"/>
          <w:sz w:val="20"/>
          <w:szCs w:val="20"/>
        </w:rPr>
        <w:t>Bedrag voor 2020 moet nog bekend worden gemaakt in sept. 2019.</w:t>
      </w:r>
    </w:p>
    <w:p w:rsidR="00493F37" w:rsidRPr="00493F37" w:rsidRDefault="00493F37" w:rsidP="00493F37">
      <w:pPr>
        <w:rPr>
          <w:rFonts w:ascii="Verdana" w:hAnsi="Verdana"/>
          <w:sz w:val="20"/>
          <w:szCs w:val="20"/>
        </w:rPr>
      </w:pPr>
      <w:r w:rsidRPr="00493F37">
        <w:rPr>
          <w:rFonts w:ascii="Verdana" w:hAnsi="Verdana"/>
          <w:sz w:val="20"/>
          <w:szCs w:val="20"/>
        </w:rPr>
        <w:t>De bedragen voor de personele en materiële bekostiging van het samenwerkingsverband worden per basisschool berekend en toegekend aan het samenwerkingsverband. Op die wijze komen alle baten voor het samenwerkingsverband op een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2735A4">
        <w:rPr>
          <w:rFonts w:ascii="Verdana" w:hAnsi="Verdana"/>
          <w:sz w:val="20"/>
          <w:szCs w:val="20"/>
        </w:rPr>
        <w:t>6</w:t>
      </w:r>
      <w:r w:rsidR="004510A4">
        <w:rPr>
          <w:rFonts w:ascii="Verdana" w:hAnsi="Verdana"/>
          <w:sz w:val="20"/>
          <w:szCs w:val="20"/>
        </w:rPr>
        <w:t>1,71</w:t>
      </w:r>
      <w:r w:rsidRPr="00493F37">
        <w:rPr>
          <w:rFonts w:ascii="Verdana" w:hAnsi="Verdana"/>
          <w:sz w:val="20"/>
          <w:szCs w:val="20"/>
        </w:rPr>
        <w:t xml:space="preserve"> per schoolgewicht</w:t>
      </w:r>
      <w:r w:rsidR="00CD5A3E" w:rsidRPr="00493F37">
        <w:rPr>
          <w:rStyle w:val="Voetnootmarkering"/>
          <w:rFonts w:ascii="Verdana" w:hAnsi="Verdana"/>
          <w:sz w:val="20"/>
          <w:szCs w:val="20"/>
        </w:rPr>
        <w:footnoteReference w:id="6"/>
      </w:r>
      <w:r w:rsidRPr="00493F37">
        <w:rPr>
          <w:rFonts w:ascii="Verdana" w:hAnsi="Verdana"/>
          <w:sz w:val="20"/>
          <w:szCs w:val="20"/>
        </w:rPr>
        <w:t xml:space="preserve"> (prijsniveau 1</w:t>
      </w:r>
      <w:r w:rsidR="00C13B3B">
        <w:rPr>
          <w:rFonts w:ascii="Verdana" w:hAnsi="Verdana"/>
          <w:sz w:val="20"/>
          <w:szCs w:val="20"/>
        </w:rPr>
        <w:t>8</w:t>
      </w:r>
      <w:r w:rsidRPr="00493F37">
        <w:rPr>
          <w:rFonts w:ascii="Verdana" w:hAnsi="Verdana"/>
          <w:sz w:val="20"/>
          <w:szCs w:val="20"/>
        </w:rPr>
        <w:t>-1</w:t>
      </w:r>
      <w:r w:rsidR="00C13B3B">
        <w:rPr>
          <w:rFonts w:ascii="Verdana" w:hAnsi="Verdana"/>
          <w:sz w:val="20"/>
          <w:szCs w:val="20"/>
        </w:rPr>
        <w:t>9</w:t>
      </w:r>
      <w:r w:rsidR="00C94919">
        <w:rPr>
          <w:rFonts w:ascii="Verdana" w:hAnsi="Verdana"/>
          <w:sz w:val="20"/>
          <w:szCs w:val="20"/>
        </w:rPr>
        <w:t xml:space="preserve">, </w:t>
      </w:r>
      <w:r w:rsidR="004510A4">
        <w:rPr>
          <w:rFonts w:ascii="Verdana" w:hAnsi="Verdana"/>
          <w:sz w:val="20"/>
          <w:szCs w:val="20"/>
        </w:rPr>
        <w:t>okt</w:t>
      </w:r>
      <w:r w:rsidR="002735A4">
        <w:rPr>
          <w:rFonts w:ascii="Verdana" w:hAnsi="Verdana"/>
          <w:sz w:val="20"/>
          <w:szCs w:val="20"/>
        </w:rPr>
        <w:t>.</w:t>
      </w:r>
      <w:r w:rsidR="00C94919">
        <w:rPr>
          <w:rFonts w:ascii="Verdana" w:hAnsi="Verdana"/>
          <w:sz w:val="20"/>
          <w:szCs w:val="20"/>
        </w:rPr>
        <w:t xml:space="preserve"> 201</w:t>
      </w:r>
      <w:r w:rsidR="004510A4">
        <w:rPr>
          <w:rFonts w:ascii="Verdana" w:hAnsi="Verdana"/>
          <w:sz w:val="20"/>
          <w:szCs w:val="20"/>
        </w:rPr>
        <w:t>8</w:t>
      </w:r>
      <w:r w:rsidRPr="00493F37">
        <w:rPr>
          <w:rFonts w:ascii="Verdana" w:hAnsi="Verdana"/>
          <w:sz w:val="20"/>
          <w:szCs w:val="20"/>
        </w:rPr>
        <w:t>) toegekend.</w:t>
      </w:r>
      <w:r w:rsidR="003713AE">
        <w:rPr>
          <w:rFonts w:ascii="Verdana" w:hAnsi="Verdana"/>
          <w:sz w:val="20"/>
          <w:szCs w:val="20"/>
        </w:rPr>
        <w:t xml:space="preserve"> Met de beëindiging van de gewichtenregeling voor het schooljaar 2019-2020 wordt nu een bedrag van € 12,55 per achterstandsscore toegekend.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de SBO zijn als bijlage I</w:t>
      </w:r>
      <w:r w:rsidR="009C73E6">
        <w:rPr>
          <w:rFonts w:ascii="Verdana" w:hAnsi="Verdana"/>
          <w:sz w:val="20"/>
          <w:szCs w:val="20"/>
        </w:rPr>
        <w:t>A en 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Reeds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003713AE">
        <w:rPr>
          <w:rFonts w:ascii="Verdana" w:hAnsi="Verdana"/>
          <w:sz w:val="20"/>
          <w:szCs w:val="20"/>
        </w:rPr>
        <w:t>in de betreffende regeling.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7"/>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praktijk hebben de </w:t>
      </w:r>
      <w:proofErr w:type="spellStart"/>
      <w:r w:rsidRPr="00493F37">
        <w:rPr>
          <w:rFonts w:ascii="Verdana" w:hAnsi="Verdana"/>
          <w:sz w:val="20"/>
          <w:szCs w:val="20"/>
        </w:rPr>
        <w:t>SWVen</w:t>
      </w:r>
      <w:proofErr w:type="spellEnd"/>
      <w:r w:rsidRPr="00493F37">
        <w:rPr>
          <w:rFonts w:ascii="Verdana" w:hAnsi="Verdana"/>
          <w:sz w:val="20"/>
          <w:szCs w:val="20"/>
        </w:rPr>
        <w:t xml:space="preserve"> WSNS (gelukkig) niet te maken gehad met een dergelijke vorm van uitputting. Er moet echter rekening gehouden worden met de </w:t>
      </w:r>
      <w:r w:rsidRPr="00493F37">
        <w:rPr>
          <w:rFonts w:ascii="Verdana" w:hAnsi="Verdana"/>
          <w:sz w:val="20"/>
          <w:szCs w:val="20"/>
        </w:rPr>
        <w:lastRenderedPageBreak/>
        <w:t xml:space="preserve">komende situatie van passend onderwijs waarin daar mogelijk wel sprake van kan zijn. De inkomsten van het SWV passend onderwijs zijn gecompartimenteerd, maar voor de uitgaven zal het niet mogelijk zijn die altijd te bestempelen als lichte of zware ondersteuning. </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9C73E6"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w:t>
      </w:r>
      <w:r w:rsidR="003713AE">
        <w:rPr>
          <w:rFonts w:ascii="Verdana" w:hAnsi="Verdana"/>
          <w:sz w:val="20"/>
          <w:szCs w:val="20"/>
        </w:rPr>
        <w:t>G</w:t>
      </w:r>
      <w:r w:rsidRPr="00D02EA9">
        <w:rPr>
          <w:rFonts w:ascii="Verdana" w:hAnsi="Verdana"/>
          <w:sz w:val="20"/>
          <w:szCs w:val="20"/>
        </w:rPr>
        <w:t xml:space="preserve">rensverkeer </w:t>
      </w:r>
      <w:r w:rsidR="003713AE">
        <w:rPr>
          <w:rFonts w:ascii="Verdana" w:hAnsi="Verdana"/>
          <w:sz w:val="20"/>
          <w:szCs w:val="20"/>
        </w:rPr>
        <w:t xml:space="preserve">is </w:t>
      </w:r>
      <w:r w:rsidRPr="00D02EA9">
        <w:rPr>
          <w:rFonts w:ascii="Verdana" w:hAnsi="Verdana"/>
          <w:sz w:val="20"/>
          <w:szCs w:val="20"/>
        </w:rPr>
        <w:t xml:space="preserve">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Het aantal grensverkeerleerlingen</w:t>
      </w:r>
      <w:r w:rsidR="00F80807">
        <w:rPr>
          <w:rFonts w:ascii="Verdana" w:hAnsi="Verdana"/>
          <w:sz w:val="20"/>
          <w:szCs w:val="20"/>
        </w:rPr>
        <w:t xml:space="preserve"> i</w:t>
      </w:r>
      <w:r w:rsidR="00F80807" w:rsidRPr="00D02EA9">
        <w:rPr>
          <w:rFonts w:ascii="Verdana" w:hAnsi="Verdana"/>
          <w:sz w:val="20"/>
          <w:szCs w:val="20"/>
        </w:rPr>
        <w:t>n de instroom en uitstroom</w:t>
      </w:r>
      <w:r w:rsidRPr="00D02EA9">
        <w:rPr>
          <w:rFonts w:ascii="Verdana" w:hAnsi="Verdana"/>
          <w:sz w:val="20"/>
          <w:szCs w:val="20"/>
        </w:rPr>
        <w:t xml:space="preserve"> </w:t>
      </w:r>
      <w:r w:rsidR="00F80807">
        <w:rPr>
          <w:rFonts w:ascii="Verdana" w:hAnsi="Verdana"/>
          <w:sz w:val="20"/>
          <w:szCs w:val="20"/>
        </w:rPr>
        <w:t xml:space="preserve">is ondertussen </w:t>
      </w:r>
      <w:r w:rsidRPr="00D02EA9">
        <w:rPr>
          <w:rFonts w:ascii="Verdana" w:hAnsi="Verdana"/>
          <w:sz w:val="20"/>
          <w:szCs w:val="20"/>
        </w:rPr>
        <w:t xml:space="preserve">na zo’n 4 à 5 jaar </w:t>
      </w:r>
      <w:r w:rsidR="00F80807">
        <w:rPr>
          <w:rFonts w:ascii="Verdana" w:hAnsi="Verdana"/>
          <w:sz w:val="20"/>
          <w:szCs w:val="20"/>
        </w:rPr>
        <w:t>ge</w:t>
      </w:r>
      <w:r w:rsidRPr="00D02EA9">
        <w:rPr>
          <w:rFonts w:ascii="Verdana" w:hAnsi="Verdana"/>
          <w:sz w:val="20"/>
          <w:szCs w:val="20"/>
        </w:rPr>
        <w:t>stabilis</w:t>
      </w:r>
      <w:r w:rsidR="00F80807">
        <w:rPr>
          <w:rFonts w:ascii="Verdana" w:hAnsi="Verdana"/>
          <w:sz w:val="20"/>
          <w:szCs w:val="20"/>
        </w:rPr>
        <w:t>eerd</w:t>
      </w:r>
      <w:r w:rsidRPr="00D02EA9">
        <w:rPr>
          <w:rFonts w:ascii="Verdana" w:hAnsi="Verdana"/>
          <w:sz w:val="20"/>
          <w:szCs w:val="20"/>
        </w:rPr>
        <w:t xml:space="preserve">.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 xml:space="preserve">alleen doen wanneer hij over een TLV bezit van </w:t>
      </w:r>
      <w:r w:rsidR="004510A4">
        <w:rPr>
          <w:rFonts w:ascii="Verdana" w:hAnsi="Verdana"/>
          <w:sz w:val="20"/>
          <w:szCs w:val="20"/>
        </w:rPr>
        <w:t>het</w:t>
      </w:r>
      <w:r w:rsidRPr="00D02EA9">
        <w:rPr>
          <w:rFonts w:ascii="Verdana" w:hAnsi="Verdana"/>
          <w:sz w:val="20"/>
          <w:szCs w:val="20"/>
        </w:rPr>
        <w:t xml:space="preserve"> verband waaruit hij vertrekt</w:t>
      </w:r>
      <w:r w:rsidR="00A73F39">
        <w:rPr>
          <w:rStyle w:val="Voetnootmarkering"/>
          <w:rFonts w:ascii="Verdana" w:hAnsi="Verdana"/>
          <w:sz w:val="20"/>
          <w:szCs w:val="20"/>
        </w:rPr>
        <w:footnoteReference w:id="8"/>
      </w:r>
      <w:r w:rsidRPr="00D02EA9">
        <w:rPr>
          <w:rFonts w:ascii="Verdana" w:hAnsi="Verdana"/>
          <w:sz w:val="20"/>
          <w:szCs w:val="20"/>
        </w:rPr>
        <w:t>. De procedure houdt vervolgens in dat het ontvangende SWV die leerling ook toelaatbaar moet verklaren</w:t>
      </w:r>
      <w:r w:rsidR="00DA301A">
        <w:rPr>
          <w:rFonts w:ascii="Verdana" w:hAnsi="Verdana"/>
          <w:sz w:val="20"/>
          <w:szCs w:val="20"/>
        </w:rPr>
        <w:t>. D</w:t>
      </w:r>
      <w:r w:rsidRPr="00D02EA9">
        <w:rPr>
          <w:rFonts w:ascii="Verdana" w:hAnsi="Verdana"/>
          <w:sz w:val="20"/>
          <w:szCs w:val="20"/>
        </w:rPr>
        <w:t xml:space="preserve">e bekostiging van die leerling op de SBO vindt </w:t>
      </w:r>
      <w:r w:rsidR="00DA301A">
        <w:rPr>
          <w:rFonts w:ascii="Verdana" w:hAnsi="Verdana"/>
          <w:sz w:val="20"/>
          <w:szCs w:val="20"/>
        </w:rPr>
        <w:t xml:space="preserve">dan plaats </w:t>
      </w:r>
      <w:r w:rsidRPr="00D02EA9">
        <w:rPr>
          <w:rFonts w:ascii="Verdana" w:hAnsi="Verdana"/>
          <w:sz w:val="20"/>
          <w:szCs w:val="20"/>
        </w:rPr>
        <w:t>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w:t>
      </w:r>
      <w:proofErr w:type="spellStart"/>
      <w:r w:rsidRPr="00493F37">
        <w:rPr>
          <w:rFonts w:ascii="Verdana" w:hAnsi="Verdana"/>
          <w:sz w:val="20"/>
          <w:szCs w:val="20"/>
        </w:rPr>
        <w:t>SBO’s</w:t>
      </w:r>
      <w:proofErr w:type="spellEnd"/>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w:t>
      </w:r>
      <w:r w:rsidR="004A6472">
        <w:rPr>
          <w:rFonts w:ascii="Verdana" w:hAnsi="Verdana"/>
          <w:sz w:val="20"/>
          <w:szCs w:val="20"/>
        </w:rPr>
        <w:t>(</w:t>
      </w:r>
      <w:r w:rsidRPr="00493F37">
        <w:rPr>
          <w:rFonts w:ascii="Verdana" w:hAnsi="Verdana"/>
          <w:sz w:val="20"/>
          <w:szCs w:val="20"/>
        </w:rPr>
        <w:t>veel</w:t>
      </w:r>
      <w:r w:rsidR="004A6472">
        <w:rPr>
          <w:rFonts w:ascii="Verdana" w:hAnsi="Verdana"/>
          <w:sz w:val="20"/>
          <w:szCs w:val="20"/>
        </w:rPr>
        <w:t>)</w:t>
      </w:r>
      <w:r w:rsidRPr="00493F37">
        <w:rPr>
          <w:rFonts w:ascii="Verdana" w:hAnsi="Verdana"/>
          <w:sz w:val="20"/>
          <w:szCs w:val="20"/>
        </w:rPr>
        <w:t xml:space="preserve">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 xml:space="preserve">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w:t>
      </w:r>
      <w:r w:rsidR="004A6472">
        <w:rPr>
          <w:rFonts w:ascii="Verdana" w:hAnsi="Verdana"/>
          <w:sz w:val="20"/>
          <w:szCs w:val="20"/>
        </w:rPr>
        <w:t>lijkt</w:t>
      </w:r>
      <w:r w:rsidRPr="00493F37">
        <w:rPr>
          <w:rFonts w:ascii="Verdana" w:hAnsi="Verdana"/>
          <w:sz w:val="20"/>
          <w:szCs w:val="20"/>
        </w:rPr>
        <w:t xml:space="preserve">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w:t>
      </w:r>
      <w:proofErr w:type="spellStart"/>
      <w:r w:rsidRPr="00493F37">
        <w:rPr>
          <w:rFonts w:ascii="Verdana" w:hAnsi="Verdana"/>
          <w:sz w:val="20"/>
          <w:szCs w:val="20"/>
        </w:rPr>
        <w:t>brinnummer</w:t>
      </w:r>
      <w:proofErr w:type="spellEnd"/>
      <w:r w:rsidRPr="00493F37">
        <w:rPr>
          <w:rFonts w:ascii="Verdana" w:hAnsi="Verdana"/>
          <w:sz w:val="20"/>
          <w:szCs w:val="20"/>
        </w:rPr>
        <w:t xml:space="preserve">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w:t>
      </w:r>
      <w:r w:rsidR="00DA301A">
        <w:rPr>
          <w:rFonts w:ascii="Verdana" w:hAnsi="Verdana"/>
          <w:sz w:val="20"/>
          <w:szCs w:val="20"/>
        </w:rPr>
        <w:t xml:space="preserve">het bestuur van </w:t>
      </w:r>
      <w:r w:rsidRPr="00493F37">
        <w:rPr>
          <w:rFonts w:ascii="Verdana" w:hAnsi="Verdana"/>
          <w:sz w:val="20"/>
          <w:szCs w:val="20"/>
        </w:rPr>
        <w:t xml:space="preserve">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SO-school</w:t>
      </w:r>
      <w:r w:rsidR="004A6472">
        <w:rPr>
          <w:rFonts w:ascii="Verdana" w:hAnsi="Verdana"/>
          <w:sz w:val="20"/>
          <w:szCs w:val="20"/>
        </w:rPr>
        <w:t>soort</w:t>
      </w:r>
      <w:r w:rsidRPr="00493F37">
        <w:rPr>
          <w:rFonts w:ascii="Verdana" w:hAnsi="Verdana"/>
          <w:sz w:val="20"/>
          <w:szCs w:val="20"/>
        </w:rPr>
        <w:t xml:space="preserve"> van het Rijk dat voor de materiële bekostiging wordt toegekend</w:t>
      </w:r>
      <w:r w:rsidRPr="00493F37">
        <w:rPr>
          <w:rStyle w:val="Voetnootmarkering"/>
          <w:rFonts w:ascii="Verdana" w:hAnsi="Verdana"/>
          <w:sz w:val="20"/>
          <w:szCs w:val="20"/>
        </w:rPr>
        <w:footnoteReference w:id="9"/>
      </w:r>
      <w:r w:rsidRPr="00493F37">
        <w:rPr>
          <w:rFonts w:ascii="Verdana" w:hAnsi="Verdana"/>
          <w:sz w:val="20"/>
          <w:szCs w:val="20"/>
        </w:rPr>
        <w:t>.</w:t>
      </w:r>
      <w:r w:rsidR="00690880">
        <w:rPr>
          <w:rFonts w:ascii="Verdana" w:hAnsi="Verdana"/>
          <w:sz w:val="20"/>
          <w:szCs w:val="20"/>
        </w:rPr>
        <w:t xml:space="preserve"> Daarnaast wordt een vast bedrag toegekend voor de SO-component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w:t>
      </w:r>
      <w:r w:rsidR="004A6472">
        <w:rPr>
          <w:rFonts w:ascii="Verdana" w:hAnsi="Verdana"/>
          <w:sz w:val="20"/>
          <w:szCs w:val="20"/>
        </w:rPr>
        <w:t xml:space="preserve">door DUO </w:t>
      </w:r>
      <w:r w:rsidRPr="00493F37">
        <w:rPr>
          <w:rFonts w:ascii="Verdana" w:hAnsi="Verdana"/>
          <w:sz w:val="20"/>
          <w:szCs w:val="20"/>
        </w:rPr>
        <w:t xml:space="preserve">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w:t>
      </w:r>
      <w:proofErr w:type="spellStart"/>
      <w:r w:rsidRPr="00493F37">
        <w:rPr>
          <w:rFonts w:ascii="Verdana" w:hAnsi="Verdana"/>
          <w:sz w:val="20"/>
          <w:szCs w:val="20"/>
        </w:rPr>
        <w:t>LZs</w:t>
      </w:r>
      <w:proofErr w:type="spellEnd"/>
      <w:r w:rsidRPr="00493F37">
        <w:rPr>
          <w:rFonts w:ascii="Verdana" w:hAnsi="Verdana"/>
          <w:sz w:val="20"/>
          <w:szCs w:val="20"/>
        </w:rPr>
        <w:t xml:space="preserve">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A6472"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493F37" w:rsidRPr="00493F37"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w:t>
      </w:r>
      <w:proofErr w:type="spellStart"/>
      <w:r w:rsidR="00011865">
        <w:rPr>
          <w:rFonts w:ascii="Verdana" w:hAnsi="Verdana"/>
          <w:sz w:val="20"/>
          <w:szCs w:val="20"/>
        </w:rPr>
        <w:t>cumi</w:t>
      </w:r>
      <w:proofErr w:type="spellEnd"/>
      <w:r w:rsidR="00011865">
        <w:rPr>
          <w:rFonts w:ascii="Verdana" w:hAnsi="Verdana"/>
          <w:sz w:val="20"/>
          <w:szCs w:val="20"/>
        </w:rPr>
        <w:t xml:space="preserve"> leerling wordt een vast bedrag in het budget P&amp;A door het Rijk bekostigd. </w:t>
      </w:r>
      <w:r w:rsidR="00493F37" w:rsidRPr="00493F37">
        <w:rPr>
          <w:rFonts w:ascii="Verdana" w:hAnsi="Verdana"/>
          <w:sz w:val="20"/>
          <w:szCs w:val="20"/>
        </w:rPr>
        <w:t xml:space="preserve">Ook worden de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655DC6">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w:t>
      </w:r>
      <w:r w:rsidR="00DA301A">
        <w:rPr>
          <w:rFonts w:ascii="Verdana" w:hAnsi="Verdana"/>
          <w:sz w:val="20"/>
          <w:szCs w:val="20"/>
        </w:rPr>
        <w:t xml:space="preserve">de soort </w:t>
      </w:r>
      <w:r w:rsidR="00CB74F1">
        <w:rPr>
          <w:rFonts w:ascii="Verdana" w:hAnsi="Verdana"/>
          <w:sz w:val="20"/>
          <w:szCs w:val="20"/>
        </w:rPr>
        <w:t>SO resp. VSO.</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w:t>
      </w:r>
      <w:proofErr w:type="spellStart"/>
      <w:r w:rsidRPr="00493F37">
        <w:rPr>
          <w:rFonts w:ascii="Verdana" w:hAnsi="Verdana"/>
          <w:sz w:val="20"/>
          <w:szCs w:val="20"/>
        </w:rPr>
        <w:t>BasisRegister</w:t>
      </w:r>
      <w:proofErr w:type="spellEnd"/>
      <w:r w:rsidRPr="00493F37">
        <w:rPr>
          <w:rFonts w:ascii="Verdana" w:hAnsi="Verdana"/>
          <w:sz w:val="20"/>
          <w:szCs w:val="20"/>
        </w:rPr>
        <w:t xml:space="preserve"> </w:t>
      </w:r>
      <w:proofErr w:type="spellStart"/>
      <w:r w:rsidRPr="00493F37">
        <w:rPr>
          <w:rFonts w:ascii="Verdana" w:hAnsi="Verdana"/>
          <w:sz w:val="20"/>
          <w:szCs w:val="20"/>
        </w:rPr>
        <w:t>OnderwijsNummer</w:t>
      </w:r>
      <w:proofErr w:type="spellEnd"/>
      <w:r w:rsidRPr="00493F37">
        <w:rPr>
          <w:rFonts w:ascii="Verdana" w:hAnsi="Verdana"/>
          <w:sz w:val="20"/>
          <w:szCs w:val="20"/>
        </w:rPr>
        <w:t xml:space="preserve">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rsidR="003F10D1" w:rsidRPr="00493F37" w:rsidRDefault="00801FBB" w:rsidP="00493F37">
      <w:pPr>
        <w:rPr>
          <w:rFonts w:ascii="Verdana" w:hAnsi="Verdana"/>
          <w:sz w:val="20"/>
          <w:szCs w:val="20"/>
        </w:rPr>
      </w:pPr>
      <w:hyperlink r:id="rId11" w:history="1">
        <w:r w:rsidR="003F10D1" w:rsidRPr="003F10D1">
          <w:rPr>
            <w:rStyle w:val="Hyperlink"/>
            <w:rFonts w:ascii="Verdana" w:hAnsi="Verdana"/>
            <w:sz w:val="20"/>
            <w:szCs w:val="20"/>
          </w:rPr>
          <w:t>Kijkglazen - Primair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budget </w:t>
      </w:r>
      <w:proofErr w:type="spellStart"/>
      <w:r w:rsidRPr="00493F37">
        <w:rPr>
          <w:rFonts w:ascii="Verdana" w:hAnsi="Verdana"/>
          <w:sz w:val="20"/>
          <w:szCs w:val="20"/>
        </w:rPr>
        <w:t>Prestatiebox</w:t>
      </w:r>
      <w:proofErr w:type="spellEnd"/>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w:t>
      </w:r>
      <w:proofErr w:type="spellStart"/>
      <w:r w:rsidRPr="00493F37">
        <w:rPr>
          <w:rFonts w:ascii="Verdana" w:hAnsi="Verdana"/>
          <w:sz w:val="20"/>
          <w:szCs w:val="20"/>
        </w:rPr>
        <w:t>cumi</w:t>
      </w:r>
      <w:proofErr w:type="spellEnd"/>
      <w:r w:rsidRPr="00493F37">
        <w:rPr>
          <w:rFonts w:ascii="Verdana" w:hAnsi="Verdana"/>
          <w:sz w:val="20"/>
          <w:szCs w:val="20"/>
        </w:rPr>
        <w:t>-faciliteiten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10"/>
      </w:r>
      <w:r w:rsidRPr="001D696E">
        <w:rPr>
          <w:rFonts w:ascii="Verdana" w:hAnsi="Verdana"/>
          <w:sz w:val="20"/>
          <w:szCs w:val="20"/>
        </w:rPr>
        <w:t xml:space="preserve"> (ontvangen in de periode </w:t>
      </w:r>
      <w:r w:rsidR="00CB48A9">
        <w:rPr>
          <w:rFonts w:ascii="Verdana" w:hAnsi="Verdana"/>
          <w:sz w:val="20"/>
          <w:szCs w:val="20"/>
        </w:rPr>
        <w:t>van 2</w:t>
      </w:r>
      <w:r w:rsidRPr="001D696E">
        <w:rPr>
          <w:rFonts w:ascii="Verdana" w:hAnsi="Verdana"/>
          <w:sz w:val="20"/>
          <w:szCs w:val="20"/>
        </w:rPr>
        <w:t xml:space="preserve"> oktober </w:t>
      </w:r>
      <w:r w:rsidR="00CB48A9">
        <w:rPr>
          <w:rFonts w:ascii="Verdana" w:hAnsi="Verdana"/>
          <w:sz w:val="20"/>
          <w:szCs w:val="20"/>
        </w:rPr>
        <w:t>t/m</w:t>
      </w:r>
      <w:r w:rsidRPr="001D696E">
        <w:rPr>
          <w:rFonts w:ascii="Verdana" w:hAnsi="Verdana"/>
          <w:sz w:val="20"/>
          <w:szCs w:val="20"/>
        </w:rPr>
        <w:t xml:space="preserve"> </w:t>
      </w:r>
      <w:r w:rsidR="00CB48A9">
        <w:rPr>
          <w:rFonts w:ascii="Verdana" w:hAnsi="Verdana"/>
          <w:sz w:val="20"/>
          <w:szCs w:val="20"/>
        </w:rPr>
        <w:t>1</w:t>
      </w:r>
      <w:r w:rsidRPr="001D696E">
        <w:rPr>
          <w:rFonts w:ascii="Verdana" w:hAnsi="Verdana"/>
          <w:sz w:val="20"/>
          <w:szCs w:val="20"/>
        </w:rPr>
        <w:t xml:space="preserve">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w:t>
      </w:r>
      <w:r w:rsidR="00DA301A">
        <w:rPr>
          <w:rFonts w:ascii="Verdana" w:hAnsi="Verdana"/>
          <w:sz w:val="20"/>
          <w:szCs w:val="20"/>
        </w:rPr>
        <w:t>voor die</w:t>
      </w:r>
      <w:r w:rsidRPr="001D696E">
        <w:rPr>
          <w:rFonts w:ascii="Verdana" w:hAnsi="Verdana"/>
          <w:sz w:val="20"/>
          <w:szCs w:val="20"/>
        </w:rPr>
        <w:t xml:space="preserve">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1"/>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w:t>
      </w:r>
      <w:r w:rsidR="00CB48A9">
        <w:rPr>
          <w:rFonts w:ascii="Verdana" w:hAnsi="Verdana"/>
          <w:sz w:val="20"/>
          <w:szCs w:val="20"/>
        </w:rPr>
        <w:t xml:space="preserve">per school </w:t>
      </w:r>
      <w:r w:rsidRPr="00493F37">
        <w:rPr>
          <w:rFonts w:ascii="Verdana" w:hAnsi="Verdana"/>
          <w:sz w:val="20"/>
          <w:szCs w:val="20"/>
        </w:rPr>
        <w:t xml:space="preserve">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2"/>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w:t>
      </w:r>
      <w:r w:rsidR="00CB48A9">
        <w:rPr>
          <w:rFonts w:ascii="Verdana" w:hAnsi="Verdana"/>
          <w:sz w:val="20"/>
          <w:szCs w:val="20"/>
        </w:rPr>
        <w:t xml:space="preserve">in bovenstaand voorbeeld </w:t>
      </w:r>
      <w:r w:rsidRPr="00493F37">
        <w:rPr>
          <w:rFonts w:ascii="Verdana" w:hAnsi="Verdana"/>
          <w:sz w:val="20"/>
          <w:szCs w:val="20"/>
        </w:rPr>
        <w:t xml:space="preserve">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w:t>
      </w:r>
      <w:r w:rsidRPr="00493F37">
        <w:rPr>
          <w:rFonts w:ascii="Verdana" w:hAnsi="Verdana"/>
          <w:sz w:val="20"/>
          <w:szCs w:val="20"/>
        </w:rPr>
        <w:lastRenderedPageBreak/>
        <w:t xml:space="preserve">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w:t>
      </w:r>
      <w:r w:rsidR="006E48FC">
        <w:rPr>
          <w:rFonts w:ascii="Verdana" w:hAnsi="Verdana"/>
          <w:sz w:val="20"/>
          <w:szCs w:val="20"/>
        </w:rPr>
        <w:t>1 februari</w:t>
      </w:r>
      <w:r w:rsidRPr="00493F37">
        <w:rPr>
          <w:rFonts w:ascii="Verdana" w:hAnsi="Verdana"/>
          <w:sz w:val="20"/>
          <w:szCs w:val="20"/>
        </w:rPr>
        <w:t xml:space="preserve">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w:t>
      </w:r>
      <w:r w:rsidR="0027036E">
        <w:rPr>
          <w:rFonts w:ascii="Verdana" w:hAnsi="Verdana"/>
          <w:sz w:val="20"/>
          <w:szCs w:val="20"/>
        </w:rPr>
        <w:t>wa</w:t>
      </w:r>
      <w:r w:rsidRPr="00493F37">
        <w:rPr>
          <w:rFonts w:ascii="Verdana" w:hAnsi="Verdana"/>
          <w:sz w:val="20"/>
          <w:szCs w:val="20"/>
        </w:rPr>
        <w:t xml:space="preserve">s dat in de wet de overdracht van de basisbekostiging bij het </w:t>
      </w:r>
      <w:r>
        <w:rPr>
          <w:rFonts w:ascii="Verdana" w:hAnsi="Verdana"/>
          <w:sz w:val="20"/>
          <w:szCs w:val="20"/>
        </w:rPr>
        <w:t>SO</w:t>
      </w:r>
      <w:r w:rsidRPr="00493F37">
        <w:rPr>
          <w:rFonts w:ascii="Verdana" w:hAnsi="Verdana"/>
          <w:sz w:val="20"/>
          <w:szCs w:val="20"/>
        </w:rPr>
        <w:t xml:space="preserve"> niet aan de orde k</w:t>
      </w:r>
      <w:r w:rsidR="0027036E">
        <w:rPr>
          <w:rFonts w:ascii="Verdana" w:hAnsi="Verdana"/>
          <w:sz w:val="20"/>
          <w:szCs w:val="20"/>
        </w:rPr>
        <w:t>wam</w:t>
      </w:r>
      <w:r w:rsidRPr="00493F37">
        <w:rPr>
          <w:rFonts w:ascii="Verdana" w:hAnsi="Verdana"/>
          <w:sz w:val="20"/>
          <w:szCs w:val="20"/>
        </w:rPr>
        <w:t xml:space="preserve">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O. Het l</w:t>
      </w:r>
      <w:r w:rsidR="0027036E">
        <w:rPr>
          <w:rFonts w:ascii="Verdana" w:hAnsi="Verdana"/>
          <w:sz w:val="20"/>
          <w:szCs w:val="20"/>
        </w:rPr>
        <w:t>ee</w:t>
      </w:r>
      <w:r w:rsidRPr="00493F37">
        <w:rPr>
          <w:rFonts w:ascii="Verdana" w:hAnsi="Verdana"/>
          <w:sz w:val="20"/>
          <w:szCs w:val="20"/>
        </w:rPr>
        <w:t xml:space="preserve">k erop alsof die niet betaald zou hoeven te worden. Zoals in bovenstaand voorbeeld is weergegeven is die betaling wel opgenomen. Deze omissie in de wet </w:t>
      </w:r>
      <w:r w:rsidR="0027036E">
        <w:rPr>
          <w:rFonts w:ascii="Verdana" w:hAnsi="Verdana"/>
          <w:sz w:val="20"/>
          <w:szCs w:val="20"/>
        </w:rPr>
        <w:t>is</w:t>
      </w:r>
      <w:r w:rsidRPr="00493F37">
        <w:rPr>
          <w:rFonts w:ascii="Verdana" w:hAnsi="Verdana"/>
          <w:sz w:val="20"/>
          <w:szCs w:val="20"/>
        </w:rPr>
        <w:t xml:space="preserve"> </w:t>
      </w:r>
      <w:r>
        <w:rPr>
          <w:rFonts w:ascii="Verdana" w:hAnsi="Verdana"/>
          <w:sz w:val="20"/>
          <w:szCs w:val="20"/>
        </w:rPr>
        <w:t xml:space="preserve">nu </w:t>
      </w:r>
      <w:r w:rsidRPr="00493F37">
        <w:rPr>
          <w:rFonts w:ascii="Verdana" w:hAnsi="Verdana"/>
          <w:sz w:val="20"/>
          <w:szCs w:val="20"/>
        </w:rPr>
        <w:t>hersteld door een wetswijziging</w:t>
      </w:r>
      <w:r w:rsidR="006E48FC">
        <w:rPr>
          <w:rFonts w:ascii="Verdana" w:hAnsi="Verdana"/>
          <w:sz w:val="20"/>
          <w:szCs w:val="20"/>
        </w:rPr>
        <w:t xml:space="preserve"> (zie voetnoot 6)</w:t>
      </w:r>
      <w:r w:rsidRPr="00493F37">
        <w:rPr>
          <w:rFonts w:ascii="Verdana" w:hAnsi="Verdana"/>
          <w:sz w:val="20"/>
          <w:szCs w:val="20"/>
        </w:rPr>
        <w:t>.</w:t>
      </w:r>
      <w:r>
        <w:rPr>
          <w:rFonts w:ascii="Verdana" w:hAnsi="Verdana"/>
          <w:sz w:val="20"/>
          <w:szCs w:val="20"/>
        </w:rPr>
        <w:t xml:space="preserve"> </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w:t>
      </w:r>
      <w:r w:rsidR="00D74D69">
        <w:rPr>
          <w:rFonts w:ascii="Verdana" w:hAnsi="Verdana"/>
          <w:sz w:val="20"/>
          <w:szCs w:val="20"/>
        </w:rPr>
        <w:t xml:space="preserve">- </w:t>
      </w:r>
      <w:r w:rsidR="00D74D69" w:rsidRPr="00493F37">
        <w:rPr>
          <w:rFonts w:ascii="Verdana" w:hAnsi="Verdana"/>
          <w:sz w:val="20"/>
          <w:szCs w:val="20"/>
        </w:rPr>
        <w:t xml:space="preserve">wat de wettelijke bepalingen </w:t>
      </w:r>
      <w:r w:rsidR="00D74D69">
        <w:rPr>
          <w:rFonts w:ascii="Verdana" w:hAnsi="Verdana"/>
          <w:sz w:val="20"/>
          <w:szCs w:val="20"/>
        </w:rPr>
        <w:t xml:space="preserve">betreft - </w:t>
      </w:r>
      <w:r w:rsidRPr="00493F37">
        <w:rPr>
          <w:rFonts w:ascii="Verdana" w:hAnsi="Verdana"/>
          <w:sz w:val="20"/>
          <w:szCs w:val="20"/>
        </w:rPr>
        <w:t xml:space="preserve">dat de peildatum geen aanvulling in de bekostiging geeft voor de materiële bekostiging.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3"/>
      </w:r>
      <w:r w:rsidR="004E0617" w:rsidRPr="004E0617">
        <w:rPr>
          <w:rFonts w:ascii="Verdana" w:hAnsi="Verdana"/>
          <w:sz w:val="20"/>
          <w:szCs w:val="20"/>
        </w:rPr>
        <w:t>.</w:t>
      </w:r>
      <w:r w:rsidR="0027036E" w:rsidRPr="0027036E">
        <w:rPr>
          <w:rFonts w:ascii="Verdana" w:hAnsi="Verdana"/>
          <w:sz w:val="20"/>
          <w:szCs w:val="20"/>
        </w:rPr>
        <w:t xml:space="preserve"> </w:t>
      </w:r>
      <w:r w:rsidR="0027036E">
        <w:rPr>
          <w:rFonts w:ascii="Verdana" w:hAnsi="Verdana"/>
          <w:sz w:val="20"/>
          <w:szCs w:val="20"/>
        </w:rPr>
        <w:t>In de instrumenten Kijkdoos PO en Kijkdoos VO voor de samenwerkingsverbanden is de keuzemogelijkheid ingebouwd met het advies de materiële basisbekostiging ook tot de overdrachtsverplichting te rekenen.</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bedragen die aan de orde zijn voor het samenwerkingsverband en voor het SO zijn als bijlage II</w:t>
      </w:r>
      <w:r w:rsidR="005D4AFC">
        <w:rPr>
          <w:rFonts w:ascii="Verdana" w:hAnsi="Verdana"/>
          <w:sz w:val="20"/>
          <w:szCs w:val="20"/>
        </w:rPr>
        <w:t>A en IIB</w:t>
      </w:r>
      <w:r w:rsidRPr="00493F37">
        <w:rPr>
          <w:rFonts w:ascii="Verdana" w:hAnsi="Verdana"/>
          <w:sz w:val="20"/>
          <w:szCs w:val="20"/>
        </w:rPr>
        <w:t xml:space="preserve">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zijn vastgelegd. Het ligt </w:t>
      </w:r>
      <w:r w:rsidR="003B6899">
        <w:rPr>
          <w:rFonts w:ascii="Verdana" w:hAnsi="Verdana"/>
          <w:sz w:val="20"/>
          <w:szCs w:val="20"/>
        </w:rPr>
        <w:t xml:space="preserve">dan </w:t>
      </w:r>
      <w:r w:rsidRPr="00493F37">
        <w:rPr>
          <w:rFonts w:ascii="Verdana" w:hAnsi="Verdana"/>
          <w:sz w:val="20"/>
          <w:szCs w:val="20"/>
        </w:rPr>
        <w:t>voor de hand het tekort om te rekenen in een bedrag per leerling BAS/SBO</w:t>
      </w:r>
      <w:r w:rsidR="003B6899">
        <w:rPr>
          <w:rFonts w:ascii="Verdana" w:hAnsi="Verdana"/>
          <w:sz w:val="20"/>
          <w:szCs w:val="20"/>
        </w:rPr>
        <w:t>/SO</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in verband met de peildatum </w:t>
      </w:r>
      <w:r w:rsidR="006E48FC">
        <w:rPr>
          <w:rFonts w:ascii="Verdana" w:hAnsi="Verdana"/>
          <w:sz w:val="20"/>
          <w:szCs w:val="20"/>
        </w:rPr>
        <w:t xml:space="preserve">1 februari </w:t>
      </w:r>
      <w:r w:rsidRPr="00493F37">
        <w:rPr>
          <w:rFonts w:ascii="Verdana" w:hAnsi="Verdana"/>
          <w:sz w:val="20"/>
          <w:szCs w:val="20"/>
        </w:rPr>
        <w:t>geldt deze bijdrageregeling ook (WPO artikel 125b). Ook hieraan wordt bijgedragen door iedere leerling BAS/SBO</w:t>
      </w:r>
      <w:r w:rsidR="003B6899">
        <w:rPr>
          <w:rFonts w:ascii="Verdana" w:hAnsi="Verdana"/>
          <w:sz w:val="20"/>
          <w:szCs w:val="20"/>
        </w:rPr>
        <w:t>/SO</w:t>
      </w:r>
      <w:r w:rsidRPr="00493F37">
        <w:rPr>
          <w:rFonts w:ascii="Verdana" w:hAnsi="Verdana"/>
          <w:sz w:val="20"/>
          <w:szCs w:val="20"/>
        </w:rPr>
        <w:t xml:space="preserve">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w:t>
      </w:r>
      <w:r w:rsidR="0027036E">
        <w:rPr>
          <w:rFonts w:ascii="Verdana" w:hAnsi="Verdana"/>
          <w:sz w:val="20"/>
          <w:szCs w:val="20"/>
        </w:rPr>
        <w:t xml:space="preserve">stevige </w:t>
      </w:r>
      <w:r w:rsidRPr="00493F37">
        <w:rPr>
          <w:rFonts w:ascii="Verdana" w:hAnsi="Verdana"/>
          <w:sz w:val="20"/>
          <w:szCs w:val="20"/>
        </w:rPr>
        <w:t xml:space="preserve">rol gaan spelen. </w:t>
      </w:r>
      <w:r w:rsidR="003B6899">
        <w:rPr>
          <w:rFonts w:ascii="Verdana" w:hAnsi="Verdana"/>
          <w:sz w:val="20"/>
          <w:szCs w:val="20"/>
        </w:rPr>
        <w:t>De laatste verrekening verevening vindt in 2019-2020 (P) resp. 2019 (M) plaats.</w:t>
      </w:r>
    </w:p>
    <w:p w:rsidR="00B13DC3" w:rsidRDefault="00B13DC3">
      <w:pPr>
        <w:rPr>
          <w:rFonts w:ascii="Verdana" w:hAnsi="Verdana"/>
          <w:b/>
          <w:sz w:val="20"/>
          <w:szCs w:val="20"/>
        </w:rPr>
      </w:pPr>
    </w:p>
    <w:p w:rsidR="005A1C50" w:rsidRPr="00D74D69" w:rsidRDefault="005A1C50" w:rsidP="00D74D69">
      <w:pPr>
        <w:rPr>
          <w:rFonts w:ascii="Verdana" w:hAnsi="Verdana"/>
          <w:b/>
          <w:sz w:val="20"/>
          <w:szCs w:val="20"/>
        </w:rPr>
      </w:pPr>
      <w:r w:rsidRPr="00D74D69">
        <w:rPr>
          <w:rFonts w:ascii="Verdana" w:hAnsi="Verdana"/>
          <w:b/>
          <w:sz w:val="20"/>
          <w:szCs w:val="20"/>
        </w:rPr>
        <w:t>Invoeringssystematiek</w:t>
      </w:r>
      <w:r w:rsidR="00D74D69" w:rsidRPr="00D74D69">
        <w:rPr>
          <w:rFonts w:ascii="Verdana" w:hAnsi="Verdana"/>
          <w:b/>
          <w:sz w:val="20"/>
          <w:szCs w:val="20"/>
        </w:rPr>
        <w:t xml:space="preserve"> lichte en zware ondersteuning</w:t>
      </w:r>
    </w:p>
    <w:p w:rsidR="00493F37" w:rsidRPr="007E0151" w:rsidRDefault="00493F37" w:rsidP="00493F37">
      <w:pPr>
        <w:rPr>
          <w:rFonts w:ascii="Verdana" w:hAnsi="Verdana"/>
          <w:b/>
          <w:i/>
          <w:sz w:val="20"/>
          <w:szCs w:val="20"/>
        </w:rPr>
      </w:pPr>
      <w:r w:rsidRPr="007E0151">
        <w:rPr>
          <w:rFonts w:ascii="Verdana" w:hAnsi="Verdana"/>
          <w:b/>
          <w:i/>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5D4AFC">
        <w:rPr>
          <w:rFonts w:ascii="Verdana" w:hAnsi="Verdana"/>
          <w:sz w:val="20"/>
          <w:szCs w:val="20"/>
        </w:rPr>
        <w:t>is</w:t>
      </w:r>
      <w:r w:rsidRPr="00493F37">
        <w:rPr>
          <w:rFonts w:ascii="Verdana" w:hAnsi="Verdana"/>
          <w:sz w:val="20"/>
          <w:szCs w:val="20"/>
        </w:rPr>
        <w:t xml:space="preserve"> op hoofdlijnen onveranderd maar een SWV moe</w:t>
      </w:r>
      <w:r w:rsidR="00D74D69">
        <w:rPr>
          <w:rFonts w:ascii="Verdana" w:hAnsi="Verdana"/>
          <w:sz w:val="20"/>
          <w:szCs w:val="20"/>
        </w:rPr>
        <w:t>s</w:t>
      </w:r>
      <w:r w:rsidRPr="00493F37">
        <w:rPr>
          <w:rFonts w:ascii="Verdana" w:hAnsi="Verdana"/>
          <w:sz w:val="20"/>
          <w:szCs w:val="20"/>
        </w:rPr>
        <w:t>t toch rekening houden met veranderingen die redelijk ingrijpend k</w:t>
      </w:r>
      <w:r w:rsidR="00D74D69">
        <w:rPr>
          <w:rFonts w:ascii="Verdana" w:hAnsi="Verdana"/>
          <w:sz w:val="20"/>
          <w:szCs w:val="20"/>
        </w:rPr>
        <w:t>onden</w:t>
      </w:r>
      <w:r w:rsidRPr="00493F37">
        <w:rPr>
          <w:rFonts w:ascii="Verdana" w:hAnsi="Verdana"/>
          <w:sz w:val="20"/>
          <w:szCs w:val="20"/>
        </w:rPr>
        <w:t xml:space="preserve"> zijn. Daarbij </w:t>
      </w:r>
      <w:r w:rsidR="00D74D69">
        <w:rPr>
          <w:rFonts w:ascii="Verdana" w:hAnsi="Verdana"/>
          <w:sz w:val="20"/>
          <w:szCs w:val="20"/>
        </w:rPr>
        <w:t>waren</w:t>
      </w:r>
      <w:r w:rsidRPr="00493F37">
        <w:rPr>
          <w:rFonts w:ascii="Verdana" w:hAnsi="Verdana"/>
          <w:sz w:val="20"/>
          <w:szCs w:val="20"/>
        </w:rPr>
        <w:t xml:space="preserve">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zal fors veranderen waardoor het grondgebied en het aantal leerlingen over het algemeen fors groter zullen worden. Dat heeft ook gevolgen voor de bepaling van de </w:t>
      </w:r>
      <w:r w:rsidR="00755467">
        <w:rPr>
          <w:rFonts w:ascii="Verdana" w:hAnsi="Verdana"/>
          <w:sz w:val="20"/>
          <w:szCs w:val="20"/>
        </w:rPr>
        <w:t xml:space="preserve">toekenning op basis van </w:t>
      </w:r>
      <w:r w:rsidRPr="00493F37">
        <w:rPr>
          <w:rFonts w:ascii="Verdana" w:hAnsi="Verdana"/>
          <w:sz w:val="20"/>
          <w:szCs w:val="20"/>
        </w:rPr>
        <w:t xml:space="preserve">het aantal van 2% van de leerlingen van het SWV (basisschool en SBO) waardoor de </w:t>
      </w:r>
      <w:r w:rsidR="00AC71A0">
        <w:rPr>
          <w:rFonts w:ascii="Verdana" w:hAnsi="Verdana"/>
          <w:sz w:val="20"/>
          <w:szCs w:val="20"/>
        </w:rPr>
        <w:t>R</w:t>
      </w:r>
      <w:r w:rsidRPr="00493F37">
        <w:rPr>
          <w:rFonts w:ascii="Verdana" w:hAnsi="Verdana"/>
          <w:sz w:val="20"/>
          <w:szCs w:val="20"/>
        </w:rPr>
        <w:t xml:space="preserve">ijksbekostiging voor de SBO drastisch anders kan uitpakken. Zeker als het aantal </w:t>
      </w:r>
      <w:proofErr w:type="spellStart"/>
      <w:r w:rsidRPr="00493F37">
        <w:rPr>
          <w:rFonts w:ascii="Verdana" w:hAnsi="Verdana"/>
          <w:sz w:val="20"/>
          <w:szCs w:val="20"/>
        </w:rPr>
        <w:t>SBO’s</w:t>
      </w:r>
      <w:proofErr w:type="spellEnd"/>
      <w:r w:rsidRPr="00493F37">
        <w:rPr>
          <w:rFonts w:ascii="Verdana" w:hAnsi="Verdana"/>
          <w:sz w:val="20"/>
          <w:szCs w:val="20"/>
        </w:rPr>
        <w:t xml:space="preserve"> in het verband is toegenomen.</w:t>
      </w:r>
      <w:r w:rsidR="00E001CE">
        <w:rPr>
          <w:rFonts w:ascii="Verdana" w:hAnsi="Verdana"/>
          <w:sz w:val="20"/>
          <w:szCs w:val="20"/>
        </w:rPr>
        <w:t xml:space="preserve"> Ook de verdeling over de </w:t>
      </w:r>
      <w:proofErr w:type="spellStart"/>
      <w:r w:rsidR="00E001CE">
        <w:rPr>
          <w:rFonts w:ascii="Verdana" w:hAnsi="Verdana"/>
          <w:sz w:val="20"/>
          <w:szCs w:val="20"/>
        </w:rPr>
        <w:t>SBO’s</w:t>
      </w:r>
      <w:proofErr w:type="spellEnd"/>
      <w:r w:rsidR="00E001CE">
        <w:rPr>
          <w:rFonts w:ascii="Verdana" w:hAnsi="Verdana"/>
          <w:sz w:val="20"/>
          <w:szCs w:val="20"/>
        </w:rPr>
        <w:t xml:space="preserve"> kan dan flink wijzigen omdat de 2% verdeeld wordt over de </w:t>
      </w:r>
      <w:proofErr w:type="spellStart"/>
      <w:r w:rsidR="00E001CE">
        <w:rPr>
          <w:rFonts w:ascii="Verdana" w:hAnsi="Verdana"/>
          <w:sz w:val="20"/>
          <w:szCs w:val="20"/>
        </w:rPr>
        <w:t>SBO’s</w:t>
      </w:r>
      <w:proofErr w:type="spellEnd"/>
      <w:r w:rsidR="00E001CE">
        <w:rPr>
          <w:rFonts w:ascii="Verdana" w:hAnsi="Verdana"/>
          <w:sz w:val="20"/>
          <w:szCs w:val="20"/>
        </w:rPr>
        <w:t xml:space="preserve"> op basis van het aantal leerlingen per SBO.</w:t>
      </w:r>
    </w:p>
    <w:p w:rsidR="007E0151" w:rsidRDefault="00493F37" w:rsidP="00AE1F91">
      <w:pPr>
        <w:numPr>
          <w:ilvl w:val="0"/>
          <w:numId w:val="1"/>
        </w:numPr>
        <w:rPr>
          <w:rFonts w:ascii="Verdana" w:hAnsi="Verdana"/>
          <w:sz w:val="20"/>
          <w:szCs w:val="20"/>
        </w:rPr>
      </w:pPr>
      <w:r w:rsidRPr="007E0151">
        <w:rPr>
          <w:rFonts w:ascii="Verdana" w:hAnsi="Verdana"/>
          <w:sz w:val="20"/>
          <w:szCs w:val="20"/>
        </w:rPr>
        <w:t xml:space="preserve">Doordat er geen overlap meer </w:t>
      </w:r>
      <w:r w:rsidR="007E0151" w:rsidRPr="007E0151">
        <w:rPr>
          <w:rFonts w:ascii="Verdana" w:hAnsi="Verdana"/>
          <w:sz w:val="20"/>
          <w:szCs w:val="20"/>
        </w:rPr>
        <w:t>wa</w:t>
      </w:r>
      <w:r w:rsidRPr="007E0151">
        <w:rPr>
          <w:rFonts w:ascii="Verdana" w:hAnsi="Verdana"/>
          <w:sz w:val="20"/>
          <w:szCs w:val="20"/>
        </w:rPr>
        <w:t xml:space="preserve">s tussen SWV-en en de schaal van een SWV gemiddeld verdrievoudigd </w:t>
      </w:r>
      <w:r w:rsidR="005D4AFC" w:rsidRPr="007E0151">
        <w:rPr>
          <w:rFonts w:ascii="Verdana" w:hAnsi="Verdana"/>
          <w:sz w:val="20"/>
          <w:szCs w:val="20"/>
        </w:rPr>
        <w:t>is</w:t>
      </w:r>
      <w:r w:rsidRPr="007E0151">
        <w:rPr>
          <w:rFonts w:ascii="Verdana" w:hAnsi="Verdana"/>
          <w:sz w:val="20"/>
          <w:szCs w:val="20"/>
        </w:rPr>
        <w:t xml:space="preserve">, </w:t>
      </w:r>
      <w:r w:rsidR="007E0151" w:rsidRPr="007E0151">
        <w:rPr>
          <w:rFonts w:ascii="Verdana" w:hAnsi="Verdana"/>
          <w:sz w:val="20"/>
          <w:szCs w:val="20"/>
        </w:rPr>
        <w:t xml:space="preserve">is </w:t>
      </w:r>
      <w:r w:rsidRPr="007E0151">
        <w:rPr>
          <w:rFonts w:ascii="Verdana" w:hAnsi="Verdana"/>
          <w:sz w:val="20"/>
          <w:szCs w:val="20"/>
        </w:rPr>
        <w:t xml:space="preserve">het grensverkeer aanzienlijk in </w:t>
      </w:r>
      <w:r w:rsidR="00C83540" w:rsidRPr="007E0151">
        <w:rPr>
          <w:rFonts w:ascii="Verdana" w:hAnsi="Verdana"/>
          <w:sz w:val="20"/>
          <w:szCs w:val="20"/>
        </w:rPr>
        <w:t>omvang</w:t>
      </w:r>
      <w:r w:rsidRPr="007E0151">
        <w:rPr>
          <w:rFonts w:ascii="Verdana" w:hAnsi="Verdana"/>
          <w:sz w:val="20"/>
          <w:szCs w:val="20"/>
        </w:rPr>
        <w:t xml:space="preserve"> af</w:t>
      </w:r>
      <w:r w:rsidR="007E0151" w:rsidRPr="007E0151">
        <w:rPr>
          <w:rFonts w:ascii="Verdana" w:hAnsi="Verdana"/>
          <w:sz w:val="20"/>
          <w:szCs w:val="20"/>
        </w:rPr>
        <w:t>genomen</w:t>
      </w:r>
      <w:r w:rsidR="007E0151">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w:t>
      </w:r>
    </w:p>
    <w:p w:rsidR="004E0617" w:rsidRDefault="004E0617">
      <w:pPr>
        <w:rPr>
          <w:rFonts w:ascii="Verdana" w:hAnsi="Verdana"/>
          <w:b/>
          <w:sz w:val="20"/>
          <w:szCs w:val="20"/>
        </w:rPr>
      </w:pPr>
    </w:p>
    <w:p w:rsidR="00493F37" w:rsidRPr="007E0151" w:rsidRDefault="00493F37" w:rsidP="00493F37">
      <w:pPr>
        <w:rPr>
          <w:rFonts w:ascii="Verdana" w:hAnsi="Verdana"/>
          <w:b/>
          <w:i/>
          <w:sz w:val="20"/>
          <w:szCs w:val="20"/>
        </w:rPr>
      </w:pPr>
      <w:r w:rsidRPr="007E0151">
        <w:rPr>
          <w:rFonts w:ascii="Verdana" w:hAnsi="Verdana"/>
          <w:b/>
          <w:i/>
          <w:sz w:val="20"/>
          <w:szCs w:val="20"/>
        </w:rPr>
        <w:t>Zware ondersteuning</w:t>
      </w:r>
    </w:p>
    <w:p w:rsidR="00493F37" w:rsidRPr="007E0151" w:rsidRDefault="00493F37" w:rsidP="00493F37">
      <w:pPr>
        <w:rPr>
          <w:rFonts w:ascii="Verdana" w:hAnsi="Verdana"/>
          <w:b/>
          <w:sz w:val="20"/>
          <w:szCs w:val="20"/>
        </w:rPr>
      </w:pPr>
      <w:r w:rsidRPr="007E0151">
        <w:rPr>
          <w:rFonts w:ascii="Verdana" w:hAnsi="Verdana"/>
          <w:b/>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w:t>
      </w:r>
      <w:r w:rsidR="007E0151">
        <w:rPr>
          <w:rFonts w:ascii="Verdana" w:hAnsi="Verdana"/>
          <w:sz w:val="20"/>
          <w:szCs w:val="20"/>
        </w:rPr>
        <w:t xml:space="preserve"> naar 60%, 30% en dan 0%</w:t>
      </w:r>
      <w:r w:rsidRPr="00493F37">
        <w:rPr>
          <w:rFonts w:ascii="Verdana" w:hAnsi="Verdana"/>
          <w:sz w:val="20"/>
          <w:szCs w:val="20"/>
        </w:rPr>
        <w:t>. In 2020-2021 is dus alleen nog maar sprake van de normbekostiging.</w:t>
      </w:r>
    </w:p>
    <w:p w:rsidR="0084150E" w:rsidRPr="00493F37" w:rsidRDefault="0084150E" w:rsidP="00493F37">
      <w:pPr>
        <w:rPr>
          <w:rFonts w:ascii="Verdana" w:hAnsi="Verdana"/>
          <w:sz w:val="20"/>
          <w:szCs w:val="20"/>
        </w:rPr>
      </w:pPr>
    </w:p>
    <w:p w:rsidR="00C8436E" w:rsidRDefault="00C8436E" w:rsidP="002658AD">
      <w:pPr>
        <w:rPr>
          <w:rFonts w:ascii="Verdana" w:hAnsi="Verdana"/>
          <w:b/>
          <w:sz w:val="20"/>
          <w:szCs w:val="20"/>
        </w:rPr>
      </w:pPr>
    </w:p>
    <w:p w:rsidR="00595452" w:rsidRDefault="00595452" w:rsidP="002658AD">
      <w:pPr>
        <w:rPr>
          <w:rFonts w:ascii="Verdana" w:hAnsi="Verdana"/>
          <w:b/>
          <w:sz w:val="20"/>
          <w:szCs w:val="20"/>
        </w:rPr>
      </w:pPr>
      <w:r>
        <w:rPr>
          <w:rFonts w:ascii="Verdana" w:hAnsi="Verdana"/>
          <w:b/>
          <w:sz w:val="20"/>
          <w:szCs w:val="20"/>
        </w:rPr>
        <w:br w:type="page"/>
      </w:r>
    </w:p>
    <w:p w:rsidR="00E414A3" w:rsidRDefault="00E414A3" w:rsidP="0061210C">
      <w:pPr>
        <w:rPr>
          <w:rFonts w:ascii="Verdana" w:hAnsi="Verdana"/>
          <w:b/>
          <w:sz w:val="20"/>
          <w:szCs w:val="20"/>
        </w:rPr>
      </w:pPr>
      <w:r>
        <w:rPr>
          <w:rFonts w:ascii="Verdana" w:hAnsi="Verdana"/>
          <w:b/>
          <w:sz w:val="20"/>
          <w:szCs w:val="20"/>
        </w:rPr>
        <w:lastRenderedPageBreak/>
        <w:br w:type="page"/>
      </w:r>
    </w:p>
    <w:p w:rsidR="0061210C" w:rsidRPr="00493F37" w:rsidRDefault="0061210C" w:rsidP="0061210C">
      <w:pPr>
        <w:rPr>
          <w:rFonts w:ascii="Verdana" w:hAnsi="Verdana"/>
          <w:b/>
          <w:sz w:val="20"/>
          <w:szCs w:val="20"/>
        </w:rPr>
      </w:pPr>
      <w:r w:rsidRPr="00493F37">
        <w:rPr>
          <w:rFonts w:ascii="Verdana" w:hAnsi="Verdana"/>
          <w:b/>
          <w:sz w:val="20"/>
          <w:szCs w:val="20"/>
        </w:rPr>
        <w:lastRenderedPageBreak/>
        <w:t>Bijlage I</w:t>
      </w:r>
      <w:r w:rsidR="003B6899">
        <w:rPr>
          <w:rFonts w:ascii="Verdana" w:hAnsi="Verdana"/>
          <w:b/>
          <w:sz w:val="20"/>
          <w:szCs w:val="20"/>
        </w:rPr>
        <w:t>A</w:t>
      </w:r>
      <w:r w:rsidRPr="00493F37">
        <w:rPr>
          <w:rFonts w:ascii="Verdana" w:hAnsi="Verdana"/>
          <w:b/>
          <w:sz w:val="20"/>
          <w:szCs w:val="20"/>
        </w:rPr>
        <w:t xml:space="preserve"> </w:t>
      </w:r>
      <w:r w:rsidRPr="00493F37">
        <w:rPr>
          <w:rFonts w:ascii="Verdana" w:hAnsi="Verdana"/>
          <w:b/>
          <w:sz w:val="20"/>
          <w:szCs w:val="20"/>
        </w:rPr>
        <w:tab/>
        <w:t>Bedragen 1</w:t>
      </w:r>
      <w:r w:rsidR="00755467">
        <w:rPr>
          <w:rFonts w:ascii="Verdana" w:hAnsi="Verdana"/>
          <w:b/>
          <w:sz w:val="20"/>
          <w:szCs w:val="20"/>
        </w:rPr>
        <w:t>8</w:t>
      </w:r>
      <w:r w:rsidRPr="00493F37">
        <w:rPr>
          <w:rFonts w:ascii="Verdana" w:hAnsi="Verdana"/>
          <w:b/>
          <w:sz w:val="20"/>
          <w:szCs w:val="20"/>
        </w:rPr>
        <w:t>-1</w:t>
      </w:r>
      <w:r w:rsidR="00755467">
        <w:rPr>
          <w:rFonts w:ascii="Verdana" w:hAnsi="Verdana"/>
          <w:b/>
          <w:sz w:val="20"/>
          <w:szCs w:val="20"/>
        </w:rPr>
        <w:t>9</w:t>
      </w:r>
      <w:r w:rsidRPr="00493F37">
        <w:rPr>
          <w:rFonts w:ascii="Verdana" w:hAnsi="Verdana"/>
          <w:b/>
          <w:sz w:val="20"/>
          <w:szCs w:val="20"/>
        </w:rPr>
        <w:t xml:space="preserve"> lichte ondersteuning </w:t>
      </w:r>
      <w:r>
        <w:rPr>
          <w:rFonts w:ascii="Verdana" w:hAnsi="Verdana"/>
          <w:b/>
          <w:sz w:val="20"/>
          <w:szCs w:val="20"/>
        </w:rPr>
        <w:t xml:space="preserve">(prijspeil </w:t>
      </w:r>
      <w:r w:rsidR="00B360CD">
        <w:rPr>
          <w:rFonts w:ascii="Verdana" w:hAnsi="Verdana"/>
          <w:b/>
          <w:sz w:val="20"/>
          <w:szCs w:val="20"/>
        </w:rPr>
        <w:t>sept.</w:t>
      </w:r>
      <w:r>
        <w:rPr>
          <w:rFonts w:ascii="Verdana" w:hAnsi="Verdana"/>
          <w:b/>
          <w:sz w:val="20"/>
          <w:szCs w:val="20"/>
        </w:rPr>
        <w:t xml:space="preserve"> 201</w:t>
      </w:r>
      <w:r w:rsidR="00755467">
        <w:rPr>
          <w:rFonts w:ascii="Verdana" w:hAnsi="Verdana"/>
          <w:b/>
          <w:sz w:val="20"/>
          <w:szCs w:val="20"/>
        </w:rPr>
        <w:t>8</w:t>
      </w:r>
      <w:r>
        <w:rPr>
          <w:rFonts w:ascii="Verdana" w:hAnsi="Verdana"/>
          <w:b/>
          <w:sz w:val="20"/>
          <w:szCs w:val="20"/>
        </w:rPr>
        <w:t>)</w:t>
      </w:r>
    </w:p>
    <w:p w:rsidR="0061210C" w:rsidRPr="00493F37" w:rsidRDefault="0061210C" w:rsidP="0061210C">
      <w:pPr>
        <w:rPr>
          <w:rFonts w:ascii="Verdana" w:hAnsi="Verdana"/>
          <w:sz w:val="20"/>
          <w:szCs w:val="20"/>
        </w:rPr>
      </w:pPr>
    </w:p>
    <w:p w:rsidR="0061210C" w:rsidRPr="00983D3E" w:rsidRDefault="0061210C" w:rsidP="0061210C">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sidR="003D1267">
        <w:rPr>
          <w:rFonts w:ascii="Verdana" w:hAnsi="Verdana"/>
          <w:b/>
          <w:sz w:val="18"/>
          <w:szCs w:val="18"/>
        </w:rPr>
        <w:t>SWV</w:t>
      </w:r>
      <w:r>
        <w:rPr>
          <w:rFonts w:ascii="Verdana" w:hAnsi="Verdana"/>
          <w:b/>
          <w:sz w:val="18"/>
          <w:szCs w:val="18"/>
        </w:rPr>
        <w:t xml:space="preserve"> </w:t>
      </w:r>
      <w:r w:rsidRPr="00983D3E">
        <w:rPr>
          <w:rFonts w:ascii="Verdana" w:hAnsi="Verdana"/>
          <w:b/>
          <w:sz w:val="18"/>
          <w:szCs w:val="18"/>
        </w:rPr>
        <w:t>(1</w:t>
      </w:r>
      <w:r w:rsidR="00755467">
        <w:rPr>
          <w:rFonts w:ascii="Verdana" w:hAnsi="Verdana"/>
          <w:b/>
          <w:sz w:val="18"/>
          <w:szCs w:val="18"/>
        </w:rPr>
        <w:t>8</w:t>
      </w:r>
      <w:r w:rsidRPr="00983D3E">
        <w:rPr>
          <w:rFonts w:ascii="Verdana" w:hAnsi="Verdana"/>
          <w:b/>
          <w:sz w:val="18"/>
          <w:szCs w:val="18"/>
        </w:rPr>
        <w:t>-1</w:t>
      </w:r>
      <w:r w:rsidR="00755467">
        <w:rPr>
          <w:rFonts w:ascii="Verdana" w:hAnsi="Verdana"/>
          <w:b/>
          <w:sz w:val="18"/>
          <w:szCs w:val="18"/>
        </w:rPr>
        <w:t>9</w:t>
      </w:r>
      <w:r w:rsidRPr="00983D3E">
        <w:rPr>
          <w:rFonts w:ascii="Verdana" w:hAnsi="Verdana"/>
          <w:b/>
          <w:sz w:val="18"/>
          <w:szCs w:val="18"/>
        </w:rPr>
        <w:t>)</w:t>
      </w:r>
    </w:p>
    <w:p w:rsidR="0061210C" w:rsidRPr="00983D3E" w:rsidRDefault="0061210C" w:rsidP="0061210C">
      <w:pPr>
        <w:rPr>
          <w:rFonts w:ascii="Verdana" w:hAnsi="Verdana"/>
          <w:sz w:val="18"/>
          <w:szCs w:val="18"/>
        </w:rPr>
      </w:pPr>
      <w:r w:rsidRPr="00983D3E">
        <w:rPr>
          <w:rFonts w:ascii="Verdana" w:hAnsi="Verdana"/>
          <w:sz w:val="18"/>
          <w:szCs w:val="18"/>
        </w:rPr>
        <w:t>Toekenning omvang formatie per feitelijke leerling</w:t>
      </w:r>
      <w:r w:rsidR="003D1267">
        <w:rPr>
          <w:rFonts w:ascii="Verdana" w:hAnsi="Verdana"/>
          <w:sz w:val="18"/>
          <w:szCs w:val="18"/>
        </w:rPr>
        <w:t xml:space="preserve"> basisschool</w:t>
      </w:r>
      <w:r w:rsidRPr="00983D3E">
        <w:rPr>
          <w:rFonts w:ascii="Verdana" w:hAnsi="Verdana"/>
          <w:sz w:val="18"/>
          <w:szCs w:val="18"/>
        </w:rPr>
        <w:t>: 0,00237 fte, dit is in geld € 1</w:t>
      </w:r>
      <w:r w:rsidR="00B360CD">
        <w:rPr>
          <w:rFonts w:ascii="Verdana" w:hAnsi="Verdana"/>
          <w:sz w:val="18"/>
          <w:szCs w:val="18"/>
        </w:rPr>
        <w:t>74,81</w:t>
      </w:r>
      <w:r w:rsidR="00755467">
        <w:rPr>
          <w:rFonts w:ascii="Verdana" w:hAnsi="Verdana"/>
          <w:sz w:val="18"/>
          <w:szCs w:val="18"/>
        </w:rPr>
        <w:t>.</w:t>
      </w:r>
      <w:r w:rsidRPr="00983D3E">
        <w:rPr>
          <w:rFonts w:ascii="Verdana" w:hAnsi="Verdana"/>
          <w:sz w:val="18"/>
          <w:szCs w:val="18"/>
        </w:rPr>
        <w:t xml:space="preserve"> </w:t>
      </w:r>
    </w:p>
    <w:p w:rsidR="0061210C" w:rsidRPr="00983D3E" w:rsidRDefault="0061210C" w:rsidP="0061210C">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3D1267">
        <w:rPr>
          <w:rFonts w:ascii="Verdana" w:hAnsi="Verdana"/>
          <w:sz w:val="18"/>
          <w:szCs w:val="18"/>
        </w:rPr>
        <w:t>6</w:t>
      </w:r>
      <w:r w:rsidR="00B360CD">
        <w:rPr>
          <w:rFonts w:ascii="Verdana" w:hAnsi="Verdana"/>
          <w:sz w:val="18"/>
          <w:szCs w:val="18"/>
        </w:rPr>
        <w:t>1</w:t>
      </w:r>
      <w:r w:rsidR="003D1267">
        <w:rPr>
          <w:rFonts w:ascii="Verdana" w:hAnsi="Verdana"/>
          <w:sz w:val="18"/>
          <w:szCs w:val="18"/>
        </w:rPr>
        <w:t>,</w:t>
      </w:r>
      <w:r w:rsidR="00B360CD">
        <w:rPr>
          <w:rFonts w:ascii="Verdana" w:hAnsi="Verdana"/>
          <w:sz w:val="18"/>
          <w:szCs w:val="18"/>
        </w:rPr>
        <w:t>7</w:t>
      </w:r>
      <w:r w:rsidR="00755467">
        <w:rPr>
          <w:rFonts w:ascii="Verdana" w:hAnsi="Verdana"/>
          <w:sz w:val="18"/>
          <w:szCs w:val="18"/>
        </w:rPr>
        <w:t>6.</w:t>
      </w:r>
      <w:r w:rsidRPr="00983D3E">
        <w:rPr>
          <w:rFonts w:ascii="Verdana" w:hAnsi="Verdana"/>
          <w:sz w:val="18"/>
          <w:szCs w:val="18"/>
        </w:rPr>
        <w:t xml:space="preserve"> </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755467">
        <w:rPr>
          <w:rFonts w:ascii="Verdana" w:hAnsi="Verdana"/>
          <w:b/>
          <w:sz w:val="18"/>
          <w:szCs w:val="18"/>
        </w:rPr>
        <w:t>8</w:t>
      </w:r>
      <w:r w:rsidRPr="00983D3E">
        <w:rPr>
          <w:rFonts w:ascii="Verdana" w:hAnsi="Verdana"/>
          <w:b/>
          <w:sz w:val="18"/>
          <w:szCs w:val="18"/>
        </w:rPr>
        <w:t>-201</w:t>
      </w:r>
      <w:r w:rsidR="00755467">
        <w:rPr>
          <w:rFonts w:ascii="Verdana" w:hAnsi="Verdana"/>
          <w:b/>
          <w:sz w:val="18"/>
          <w:szCs w:val="18"/>
        </w:rPr>
        <w:t>9</w:t>
      </w:r>
    </w:p>
    <w:p w:rsidR="0061210C" w:rsidRPr="00983D3E" w:rsidRDefault="0061210C" w:rsidP="0061210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61210C" w:rsidRPr="00D02EA9" w:rsidRDefault="0061210C" w:rsidP="0061210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ED369A">
        <w:rPr>
          <w:rFonts w:ascii="Verdana" w:hAnsi="Verdana"/>
          <w:sz w:val="18"/>
          <w:szCs w:val="18"/>
        </w:rPr>
        <w:t>4</w:t>
      </w:r>
      <w:r w:rsidR="003D1267">
        <w:rPr>
          <w:rFonts w:ascii="Verdana" w:hAnsi="Verdana"/>
          <w:sz w:val="18"/>
          <w:szCs w:val="18"/>
        </w:rPr>
        <w:t>2</w:t>
      </w:r>
      <w:r w:rsidR="00ED369A">
        <w:rPr>
          <w:rFonts w:ascii="Verdana" w:hAnsi="Verdana"/>
          <w:sz w:val="18"/>
          <w:szCs w:val="18"/>
        </w:rPr>
        <w:t>8</w:t>
      </w:r>
      <w:r w:rsidR="00755467">
        <w:rPr>
          <w:rFonts w:ascii="Verdana" w:hAnsi="Verdana"/>
          <w:sz w:val="18"/>
          <w:szCs w:val="18"/>
        </w:rPr>
        <w:t>,</w:t>
      </w:r>
      <w:r w:rsidR="00ED369A">
        <w:rPr>
          <w:rFonts w:ascii="Verdana" w:hAnsi="Verdana"/>
          <w:sz w:val="18"/>
          <w:szCs w:val="18"/>
        </w:rPr>
        <w:t>80</w:t>
      </w:r>
      <w:r w:rsidRPr="00D02EA9">
        <w:rPr>
          <w:rFonts w:ascii="Verdana" w:hAnsi="Verdana"/>
          <w:sz w:val="18"/>
          <w:szCs w:val="18"/>
        </w:rPr>
        <w:t xml:space="preserve"> plus € </w:t>
      </w:r>
      <w:r>
        <w:rPr>
          <w:rFonts w:ascii="Verdana" w:hAnsi="Verdana"/>
          <w:sz w:val="18"/>
          <w:szCs w:val="18"/>
        </w:rPr>
        <w:t>4</w:t>
      </w:r>
      <w:r w:rsidR="00ED369A">
        <w:rPr>
          <w:rFonts w:ascii="Verdana" w:hAnsi="Verdana"/>
          <w:sz w:val="18"/>
          <w:szCs w:val="18"/>
        </w:rPr>
        <w:t>6,26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ED369A">
        <w:rPr>
          <w:rFonts w:ascii="Verdana" w:hAnsi="Verdana"/>
          <w:sz w:val="18"/>
          <w:szCs w:val="18"/>
        </w:rPr>
        <w:t>333</w:t>
      </w:r>
      <w:r w:rsidR="003D1267">
        <w:rPr>
          <w:rFonts w:ascii="Verdana" w:hAnsi="Verdana"/>
          <w:sz w:val="18"/>
          <w:szCs w:val="18"/>
        </w:rPr>
        <w:t>,</w:t>
      </w:r>
      <w:r w:rsidR="00ED369A">
        <w:rPr>
          <w:rFonts w:ascii="Verdana" w:hAnsi="Verdana"/>
          <w:sz w:val="18"/>
          <w:szCs w:val="18"/>
        </w:rPr>
        <w:t>95</w:t>
      </w:r>
    </w:p>
    <w:p w:rsidR="0061210C" w:rsidRPr="00D02EA9" w:rsidRDefault="0061210C" w:rsidP="0061210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ED369A">
        <w:rPr>
          <w:rFonts w:ascii="Verdana" w:hAnsi="Verdana"/>
          <w:sz w:val="18"/>
          <w:szCs w:val="18"/>
        </w:rPr>
        <w:t>2</w:t>
      </w:r>
      <w:r w:rsidRPr="00D02EA9">
        <w:rPr>
          <w:rFonts w:ascii="Verdana" w:hAnsi="Verdana"/>
          <w:sz w:val="18"/>
          <w:szCs w:val="18"/>
        </w:rPr>
        <w:t>.</w:t>
      </w:r>
      <w:r w:rsidR="00ED369A">
        <w:rPr>
          <w:rFonts w:ascii="Verdana" w:hAnsi="Verdana"/>
          <w:sz w:val="18"/>
          <w:szCs w:val="18"/>
        </w:rPr>
        <w:t>042</w:t>
      </w:r>
      <w:r>
        <w:rPr>
          <w:rFonts w:ascii="Verdana" w:hAnsi="Verdana"/>
          <w:sz w:val="18"/>
          <w:szCs w:val="18"/>
        </w:rPr>
        <w:t>,</w:t>
      </w:r>
      <w:r w:rsidR="00ED369A">
        <w:rPr>
          <w:rFonts w:ascii="Verdana" w:hAnsi="Verdana"/>
          <w:sz w:val="18"/>
          <w:szCs w:val="18"/>
        </w:rPr>
        <w:t>05</w:t>
      </w:r>
      <w:r w:rsidRPr="00D02EA9">
        <w:rPr>
          <w:rFonts w:ascii="Verdana" w:hAnsi="Verdana"/>
          <w:sz w:val="18"/>
          <w:szCs w:val="18"/>
        </w:rPr>
        <w:t xml:space="preserve"> plus € </w:t>
      </w:r>
      <w:r>
        <w:rPr>
          <w:rFonts w:ascii="Verdana" w:hAnsi="Verdana"/>
          <w:sz w:val="18"/>
          <w:szCs w:val="18"/>
        </w:rPr>
        <w:t>6</w:t>
      </w:r>
      <w:r w:rsidR="00ED369A">
        <w:rPr>
          <w:rFonts w:ascii="Verdana" w:hAnsi="Verdana"/>
          <w:sz w:val="18"/>
          <w:szCs w:val="18"/>
        </w:rPr>
        <w:t>6,12</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ED369A">
        <w:rPr>
          <w:rFonts w:ascii="Verdana" w:hAnsi="Verdana"/>
          <w:sz w:val="18"/>
          <w:szCs w:val="18"/>
        </w:rPr>
        <w:t>76</w:t>
      </w:r>
      <w:r w:rsidR="00755467">
        <w:rPr>
          <w:rFonts w:ascii="Verdana" w:hAnsi="Verdana"/>
          <w:sz w:val="18"/>
          <w:szCs w:val="18"/>
        </w:rPr>
        <w:t>4</w:t>
      </w:r>
      <w:r>
        <w:rPr>
          <w:rFonts w:ascii="Verdana" w:hAnsi="Verdana"/>
          <w:sz w:val="18"/>
          <w:szCs w:val="18"/>
        </w:rPr>
        <w:t>,</w:t>
      </w:r>
      <w:r w:rsidR="00ED369A">
        <w:rPr>
          <w:rFonts w:ascii="Verdana" w:hAnsi="Verdana"/>
          <w:sz w:val="18"/>
          <w:szCs w:val="18"/>
        </w:rPr>
        <w:t>90</w:t>
      </w:r>
    </w:p>
    <w:p w:rsidR="0061210C" w:rsidRPr="00D02EA9" w:rsidRDefault="0061210C" w:rsidP="0061210C">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w:t>
      </w:r>
      <w:r w:rsidR="003D1267">
        <w:rPr>
          <w:rFonts w:ascii="Verdana" w:hAnsi="Verdana"/>
          <w:sz w:val="18"/>
          <w:szCs w:val="18"/>
        </w:rPr>
        <w:t>7</w:t>
      </w:r>
      <w:r w:rsidR="00755467">
        <w:rPr>
          <w:rFonts w:ascii="Verdana" w:hAnsi="Verdana"/>
          <w:sz w:val="18"/>
          <w:szCs w:val="18"/>
        </w:rPr>
        <w:t>9</w:t>
      </w:r>
      <w:r>
        <w:rPr>
          <w:rFonts w:ascii="Verdana" w:hAnsi="Verdana"/>
          <w:sz w:val="18"/>
          <w:szCs w:val="18"/>
        </w:rPr>
        <w:t>,</w:t>
      </w:r>
      <w:r w:rsidR="00755467">
        <w:rPr>
          <w:rFonts w:ascii="Verdana" w:hAnsi="Verdana"/>
          <w:sz w:val="18"/>
          <w:szCs w:val="18"/>
        </w:rPr>
        <w:t>16</w:t>
      </w:r>
      <w:r w:rsidRPr="00D02EA9">
        <w:rPr>
          <w:rFonts w:ascii="Verdana" w:hAnsi="Verdana"/>
          <w:sz w:val="18"/>
          <w:szCs w:val="18"/>
        </w:rPr>
        <w:t xml:space="preserve"> plus € 3</w:t>
      </w:r>
      <w:r w:rsidR="003D1267">
        <w:rPr>
          <w:rFonts w:ascii="Verdana" w:hAnsi="Verdana"/>
          <w:sz w:val="18"/>
          <w:szCs w:val="18"/>
        </w:rPr>
        <w:t>8</w:t>
      </w:r>
      <w:r>
        <w:rPr>
          <w:rFonts w:ascii="Verdana" w:hAnsi="Verdana"/>
          <w:sz w:val="18"/>
          <w:szCs w:val="18"/>
        </w:rPr>
        <w:t>,</w:t>
      </w:r>
      <w:r w:rsidR="00755467">
        <w:rPr>
          <w:rFonts w:ascii="Verdana" w:hAnsi="Verdana"/>
          <w:sz w:val="18"/>
          <w:szCs w:val="18"/>
        </w:rPr>
        <w:t>37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ED369A">
        <w:rPr>
          <w:rFonts w:ascii="Verdana" w:hAnsi="Verdana"/>
          <w:sz w:val="18"/>
          <w:szCs w:val="18"/>
        </w:rPr>
        <w:t>957</w:t>
      </w:r>
      <w:r w:rsidR="00BB5D62">
        <w:rPr>
          <w:rFonts w:ascii="Verdana" w:hAnsi="Verdana"/>
          <w:sz w:val="18"/>
          <w:szCs w:val="18"/>
        </w:rPr>
        <w:t>,</w:t>
      </w:r>
      <w:r w:rsidR="00B51E9A">
        <w:rPr>
          <w:rFonts w:ascii="Verdana" w:hAnsi="Verdana"/>
          <w:sz w:val="18"/>
          <w:szCs w:val="18"/>
        </w:rPr>
        <w:t>78</w:t>
      </w:r>
    </w:p>
    <w:p w:rsidR="00E01315" w:rsidRDefault="00E01315" w:rsidP="0061210C">
      <w:pPr>
        <w:rPr>
          <w:rFonts w:ascii="Verdana" w:hAnsi="Verdana"/>
          <w:b/>
          <w:sz w:val="18"/>
          <w:szCs w:val="18"/>
        </w:rPr>
      </w:pPr>
    </w:p>
    <w:p w:rsidR="00E01315" w:rsidRPr="00983D3E" w:rsidRDefault="00E01315" w:rsidP="00E01315">
      <w:pPr>
        <w:rPr>
          <w:rFonts w:ascii="Verdana" w:hAnsi="Verdana"/>
          <w:b/>
          <w:sz w:val="18"/>
          <w:szCs w:val="18"/>
        </w:rPr>
      </w:pPr>
      <w:r w:rsidRPr="00983D3E">
        <w:rPr>
          <w:rFonts w:ascii="Verdana" w:hAnsi="Verdana"/>
          <w:b/>
          <w:sz w:val="18"/>
          <w:szCs w:val="18"/>
        </w:rPr>
        <w:t>3</w:t>
      </w:r>
      <w:r w:rsidR="00B51E9A">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rsidR="002735A4" w:rsidRPr="00983D3E" w:rsidRDefault="002735A4" w:rsidP="002735A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0373AE">
        <w:rPr>
          <w:rFonts w:ascii="Verdana" w:hAnsi="Verdana"/>
          <w:sz w:val="18"/>
          <w:szCs w:val="18"/>
        </w:rPr>
        <w:t>806</w:t>
      </w:r>
      <w:r w:rsidRPr="00983D3E">
        <w:rPr>
          <w:rFonts w:ascii="Verdana" w:hAnsi="Verdana"/>
          <w:sz w:val="18"/>
          <w:szCs w:val="18"/>
        </w:rPr>
        <w:t>,-)</w:t>
      </w:r>
    </w:p>
    <w:p w:rsidR="002735A4" w:rsidRPr="00983D3E" w:rsidRDefault="002735A4" w:rsidP="002735A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w:t>
      </w:r>
      <w:r w:rsidR="000373AE">
        <w:rPr>
          <w:rFonts w:ascii="Verdana" w:hAnsi="Verdana"/>
          <w:sz w:val="18"/>
          <w:szCs w:val="18"/>
        </w:rPr>
        <w:t>9,18</w:t>
      </w:r>
    </w:p>
    <w:p w:rsidR="002735A4" w:rsidRDefault="002735A4" w:rsidP="002735A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0373AE">
        <w:rPr>
          <w:rFonts w:ascii="Verdana" w:hAnsi="Verdana"/>
          <w:sz w:val="18"/>
          <w:szCs w:val="18"/>
        </w:rPr>
        <w:t>61</w:t>
      </w:r>
    </w:p>
    <w:p w:rsidR="00ED369A" w:rsidRPr="00983D3E" w:rsidRDefault="00ED369A" w:rsidP="002735A4">
      <w:pPr>
        <w:rPr>
          <w:rFonts w:ascii="Verdana" w:hAnsi="Verdana"/>
          <w:sz w:val="18"/>
          <w:szCs w:val="18"/>
        </w:rPr>
      </w:pPr>
    </w:p>
    <w:p w:rsidR="00ED369A" w:rsidRPr="00983D3E" w:rsidRDefault="00ED369A" w:rsidP="00ED369A">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9</w:t>
      </w:r>
      <w:r w:rsidRPr="00983D3E">
        <w:rPr>
          <w:rFonts w:ascii="Verdana" w:hAnsi="Verdana"/>
          <w:b/>
          <w:sz w:val="18"/>
          <w:szCs w:val="18"/>
        </w:rPr>
        <w:t>)</w:t>
      </w:r>
    </w:p>
    <w:p w:rsidR="00ED369A" w:rsidRPr="00983D3E" w:rsidRDefault="00ED369A" w:rsidP="00ED36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rsidR="00ED369A" w:rsidRPr="00983D3E" w:rsidRDefault="00ED369A" w:rsidP="00ED36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232,62</w:t>
      </w:r>
    </w:p>
    <w:p w:rsidR="00ED369A" w:rsidRDefault="00ED369A" w:rsidP="00ED369A">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72</w:t>
      </w:r>
    </w:p>
    <w:p w:rsidR="00E01315" w:rsidRDefault="00E01315" w:rsidP="0061210C">
      <w:pPr>
        <w:rPr>
          <w:rFonts w:ascii="Verdana" w:hAnsi="Verdana"/>
          <w:b/>
          <w:sz w:val="18"/>
          <w:szCs w:val="18"/>
        </w:rPr>
      </w:pPr>
    </w:p>
    <w:p w:rsidR="0061210C" w:rsidRPr="00983D3E" w:rsidRDefault="0061210C" w:rsidP="0061210C">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B51E9A">
        <w:rPr>
          <w:rFonts w:ascii="Verdana" w:hAnsi="Verdana"/>
          <w:b/>
          <w:sz w:val="18"/>
          <w:szCs w:val="18"/>
        </w:rPr>
        <w:t>8</w:t>
      </w:r>
      <w:r w:rsidRPr="00983D3E">
        <w:rPr>
          <w:rFonts w:ascii="Verdana" w:hAnsi="Verdana"/>
          <w:b/>
          <w:sz w:val="18"/>
          <w:szCs w:val="18"/>
        </w:rPr>
        <w:t>-1</w:t>
      </w:r>
      <w:r w:rsidR="00B51E9A">
        <w:rPr>
          <w:rFonts w:ascii="Verdana" w:hAnsi="Verdana"/>
          <w:b/>
          <w:sz w:val="18"/>
          <w:szCs w:val="18"/>
        </w:rPr>
        <w:t>9</w:t>
      </w:r>
      <w:r w:rsidRPr="00983D3E">
        <w:rPr>
          <w:rFonts w:ascii="Verdana" w:hAnsi="Verdana"/>
          <w:b/>
          <w:sz w:val="18"/>
          <w:szCs w:val="18"/>
        </w:rPr>
        <w:t>)</w:t>
      </w:r>
    </w:p>
    <w:p w:rsidR="0061210C" w:rsidRPr="00983D3E" w:rsidRDefault="002735A4" w:rsidP="002735A4">
      <w:pPr>
        <w:rPr>
          <w:rFonts w:ascii="Verdana" w:hAnsi="Verdana"/>
          <w:sz w:val="18"/>
          <w:szCs w:val="18"/>
        </w:rPr>
      </w:pPr>
      <w:r>
        <w:rPr>
          <w:rFonts w:ascii="Verdana" w:hAnsi="Verdana"/>
          <w:sz w:val="18"/>
          <w:szCs w:val="18"/>
        </w:rPr>
        <w:t>4.1</w:t>
      </w:r>
      <w:r w:rsidR="0061210C" w:rsidRPr="00983D3E">
        <w:rPr>
          <w:rFonts w:ascii="Verdana" w:hAnsi="Verdana"/>
          <w:sz w:val="18"/>
          <w:szCs w:val="18"/>
        </w:rPr>
        <w:t xml:space="preserve">      Het Budget P</w:t>
      </w:r>
      <w:r w:rsidR="0061210C">
        <w:rPr>
          <w:rFonts w:ascii="Verdana" w:hAnsi="Verdana"/>
          <w:sz w:val="18"/>
          <w:szCs w:val="18"/>
        </w:rPr>
        <w:t>&amp;A</w:t>
      </w:r>
      <w:r w:rsidR="0061210C" w:rsidRPr="00983D3E">
        <w:rPr>
          <w:rFonts w:ascii="Verdana" w:hAnsi="Verdana"/>
          <w:sz w:val="18"/>
          <w:szCs w:val="18"/>
        </w:rPr>
        <w:t xml:space="preserve"> wordt gevormd door de som van:</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ED369A">
        <w:rPr>
          <w:rFonts w:ascii="Verdana" w:hAnsi="Verdana"/>
          <w:sz w:val="18"/>
          <w:szCs w:val="18"/>
        </w:rPr>
        <w:t>904,80</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sidR="00ED369A">
        <w:rPr>
          <w:rFonts w:ascii="Verdana" w:hAnsi="Verdana"/>
          <w:sz w:val="18"/>
          <w:szCs w:val="18"/>
        </w:rPr>
        <w:t>89,41</w:t>
      </w:r>
    </w:p>
    <w:p w:rsidR="0061210C" w:rsidRPr="00983D3E" w:rsidRDefault="0061210C" w:rsidP="0061210C">
      <w:pPr>
        <w:numPr>
          <w:ilvl w:val="0"/>
          <w:numId w:val="19"/>
        </w:numPr>
        <w:rPr>
          <w:rFonts w:ascii="Verdana" w:hAnsi="Verdana"/>
          <w:sz w:val="18"/>
          <w:szCs w:val="18"/>
        </w:rPr>
      </w:pPr>
      <w:r w:rsidRPr="00983D3E">
        <w:rPr>
          <w:rFonts w:ascii="Verdana" w:hAnsi="Verdana"/>
          <w:sz w:val="18"/>
          <w:szCs w:val="18"/>
        </w:rPr>
        <w:t>vast bedrag per school van € 1</w:t>
      </w:r>
      <w:r w:rsidR="00ED369A">
        <w:rPr>
          <w:rFonts w:ascii="Verdana" w:hAnsi="Verdana"/>
          <w:sz w:val="18"/>
          <w:szCs w:val="18"/>
        </w:rPr>
        <w:t>3</w:t>
      </w:r>
      <w:r w:rsidRPr="00983D3E">
        <w:rPr>
          <w:rFonts w:ascii="Verdana" w:hAnsi="Verdana"/>
          <w:sz w:val="18"/>
          <w:szCs w:val="18"/>
        </w:rPr>
        <w:t>.</w:t>
      </w:r>
      <w:r w:rsidR="00ED369A">
        <w:rPr>
          <w:rFonts w:ascii="Verdana" w:hAnsi="Verdana"/>
          <w:sz w:val="18"/>
          <w:szCs w:val="18"/>
        </w:rPr>
        <w:t>517,74</w:t>
      </w:r>
    </w:p>
    <w:p w:rsidR="0061210C" w:rsidRPr="00983D3E" w:rsidRDefault="0061210C" w:rsidP="0061210C">
      <w:pPr>
        <w:rPr>
          <w:rFonts w:ascii="Verdana" w:hAnsi="Verdana"/>
          <w:sz w:val="18"/>
          <w:szCs w:val="18"/>
        </w:rPr>
      </w:pPr>
    </w:p>
    <w:p w:rsidR="0061210C" w:rsidRPr="00983D3E" w:rsidRDefault="0061210C" w:rsidP="0061210C">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B51E9A">
        <w:rPr>
          <w:rFonts w:ascii="Verdana" w:hAnsi="Verdana"/>
          <w:b/>
          <w:bCs/>
          <w:sz w:val="18"/>
          <w:szCs w:val="18"/>
        </w:rPr>
        <w:t>8</w:t>
      </w:r>
      <w:r w:rsidRPr="00983D3E">
        <w:rPr>
          <w:rFonts w:ascii="Verdana" w:hAnsi="Verdana"/>
          <w:b/>
          <w:bCs/>
          <w:sz w:val="18"/>
          <w:szCs w:val="18"/>
        </w:rPr>
        <w:t>-201</w:t>
      </w:r>
      <w:r w:rsidR="00B51E9A">
        <w:rPr>
          <w:rFonts w:ascii="Verdana" w:hAnsi="Verdana"/>
          <w:b/>
          <w:bCs/>
          <w:sz w:val="18"/>
          <w:szCs w:val="18"/>
        </w:rPr>
        <w:t>9</w:t>
      </w:r>
    </w:p>
    <w:p w:rsidR="0061210C" w:rsidRPr="00983D3E" w:rsidRDefault="0061210C" w:rsidP="0061210C">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61210C" w:rsidRPr="00983D3E" w:rsidRDefault="0061210C" w:rsidP="0061210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B360CD">
        <w:rPr>
          <w:rFonts w:ascii="Verdana" w:hAnsi="Verdana"/>
          <w:sz w:val="18"/>
          <w:szCs w:val="18"/>
        </w:rPr>
        <w:t>9</w:t>
      </w:r>
      <w:r w:rsidR="000373AE">
        <w:rPr>
          <w:rFonts w:ascii="Verdana" w:hAnsi="Verdana"/>
          <w:sz w:val="18"/>
          <w:szCs w:val="18"/>
        </w:rPr>
        <w:t>.</w:t>
      </w:r>
      <w:r w:rsidR="00B360CD">
        <w:rPr>
          <w:rFonts w:ascii="Verdana" w:hAnsi="Verdana"/>
          <w:sz w:val="18"/>
          <w:szCs w:val="18"/>
        </w:rPr>
        <w:t>294</w:t>
      </w:r>
      <w:r w:rsidR="000373AE">
        <w:rPr>
          <w:rFonts w:ascii="Verdana" w:hAnsi="Verdana"/>
          <w:sz w:val="18"/>
          <w:szCs w:val="18"/>
        </w:rPr>
        <w:t>,</w:t>
      </w:r>
      <w:r w:rsidR="00B360CD">
        <w:rPr>
          <w:rFonts w:ascii="Verdana" w:hAnsi="Verdana"/>
          <w:sz w:val="18"/>
          <w:szCs w:val="18"/>
        </w:rPr>
        <w:t>17</w:t>
      </w:r>
    </w:p>
    <w:p w:rsidR="0061210C" w:rsidRPr="00983D3E" w:rsidRDefault="0061210C" w:rsidP="0061210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B360CD">
        <w:rPr>
          <w:rFonts w:ascii="Verdana" w:hAnsi="Verdana"/>
          <w:sz w:val="18"/>
          <w:szCs w:val="18"/>
        </w:rPr>
        <w:t>73</w:t>
      </w:r>
      <w:r>
        <w:rPr>
          <w:rFonts w:ascii="Verdana" w:hAnsi="Verdana"/>
          <w:sz w:val="18"/>
          <w:szCs w:val="18"/>
        </w:rPr>
        <w:t>.</w:t>
      </w:r>
      <w:r w:rsidR="00B360CD">
        <w:rPr>
          <w:rFonts w:ascii="Verdana" w:hAnsi="Verdana"/>
          <w:sz w:val="18"/>
          <w:szCs w:val="18"/>
        </w:rPr>
        <w:t>760,06</w:t>
      </w:r>
    </w:p>
    <w:p w:rsidR="0061210C" w:rsidRPr="00983D3E" w:rsidRDefault="0061210C" w:rsidP="0061210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B360CD">
        <w:rPr>
          <w:rFonts w:ascii="Verdana" w:hAnsi="Verdana"/>
          <w:sz w:val="18"/>
          <w:szCs w:val="18"/>
        </w:rPr>
        <w:t>5</w:t>
      </w:r>
      <w:r>
        <w:rPr>
          <w:rFonts w:ascii="Verdana" w:hAnsi="Verdana"/>
          <w:sz w:val="18"/>
          <w:szCs w:val="18"/>
        </w:rPr>
        <w:t>.</w:t>
      </w:r>
      <w:r w:rsidR="00B360CD">
        <w:rPr>
          <w:rFonts w:ascii="Verdana" w:hAnsi="Verdana"/>
          <w:sz w:val="18"/>
          <w:szCs w:val="18"/>
        </w:rPr>
        <w:t>534</w:t>
      </w:r>
      <w:r w:rsidR="000373AE">
        <w:rPr>
          <w:rFonts w:ascii="Verdana" w:hAnsi="Verdana"/>
          <w:sz w:val="18"/>
          <w:szCs w:val="18"/>
        </w:rPr>
        <w:t>,</w:t>
      </w:r>
      <w:r w:rsidR="00B360CD">
        <w:rPr>
          <w:rFonts w:ascii="Verdana" w:hAnsi="Verdana"/>
          <w:sz w:val="18"/>
          <w:szCs w:val="18"/>
        </w:rPr>
        <w:t>11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B360CD">
        <w:rPr>
          <w:rFonts w:ascii="Verdana" w:hAnsi="Verdana"/>
          <w:sz w:val="18"/>
          <w:szCs w:val="18"/>
        </w:rPr>
        <w:t>631,-</w:t>
      </w:r>
    </w:p>
    <w:p w:rsidR="0061210C" w:rsidRPr="00983D3E" w:rsidRDefault="0061210C" w:rsidP="0061210C">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B360CD">
        <w:rPr>
          <w:rFonts w:ascii="Verdana" w:hAnsi="Verdana"/>
          <w:sz w:val="18"/>
          <w:szCs w:val="18"/>
        </w:rPr>
        <w:t>31.610,67</w:t>
      </w:r>
    </w:p>
    <w:p w:rsidR="0061210C" w:rsidRPr="00983D3E" w:rsidRDefault="0061210C" w:rsidP="0061210C">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B360CD">
        <w:rPr>
          <w:rFonts w:ascii="Verdana" w:hAnsi="Verdana"/>
          <w:sz w:val="18"/>
          <w:szCs w:val="18"/>
        </w:rPr>
        <w:t>1.023</w:t>
      </w:r>
      <w:r w:rsidR="00B51E9A">
        <w:rPr>
          <w:rFonts w:ascii="Verdana" w:hAnsi="Verdana"/>
          <w:sz w:val="18"/>
          <w:szCs w:val="18"/>
        </w:rPr>
        <w:t>,</w:t>
      </w:r>
      <w:r w:rsidR="00B360CD">
        <w:rPr>
          <w:rFonts w:ascii="Verdana" w:hAnsi="Verdana"/>
          <w:sz w:val="18"/>
          <w:szCs w:val="18"/>
        </w:rPr>
        <w:t>54</w:t>
      </w:r>
    </w:p>
    <w:p w:rsidR="0061210C" w:rsidRPr="00983D3E" w:rsidRDefault="0061210C" w:rsidP="0061210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B51E9A">
        <w:rPr>
          <w:rFonts w:ascii="Verdana" w:hAnsi="Verdana"/>
          <w:sz w:val="18"/>
          <w:szCs w:val="18"/>
        </w:rPr>
        <w:t>1</w:t>
      </w:r>
      <w:r w:rsidR="00B360CD">
        <w:rPr>
          <w:rFonts w:ascii="Verdana" w:hAnsi="Verdana"/>
          <w:sz w:val="18"/>
          <w:szCs w:val="18"/>
        </w:rPr>
        <w:t>8</w:t>
      </w:r>
      <w:r w:rsidRPr="00983D3E">
        <w:rPr>
          <w:rFonts w:ascii="Verdana" w:hAnsi="Verdana"/>
          <w:sz w:val="18"/>
          <w:szCs w:val="18"/>
        </w:rPr>
        <w:t xml:space="preserve"> jaar</w:t>
      </w:r>
    </w:p>
    <w:p w:rsidR="0061210C" w:rsidRPr="00983D3E" w:rsidRDefault="0061210C" w:rsidP="0061210C">
      <w:pPr>
        <w:ind w:firstLine="708"/>
        <w:rPr>
          <w:rFonts w:ascii="Verdana" w:hAnsi="Verdana"/>
          <w:sz w:val="18"/>
          <w:szCs w:val="18"/>
        </w:rPr>
      </w:pPr>
    </w:p>
    <w:p w:rsidR="0061210C" w:rsidRPr="00F24F50" w:rsidRDefault="0061210C" w:rsidP="0061210C">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61210C" w:rsidRPr="00983D3E" w:rsidRDefault="0061210C" w:rsidP="0061210C">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01315">
        <w:rPr>
          <w:rFonts w:ascii="Verdana" w:hAnsi="Verdana"/>
          <w:sz w:val="18"/>
          <w:szCs w:val="18"/>
        </w:rPr>
        <w:t>8</w:t>
      </w:r>
      <w:r>
        <w:rPr>
          <w:rFonts w:ascii="Verdana" w:hAnsi="Verdana"/>
          <w:sz w:val="18"/>
          <w:szCs w:val="18"/>
        </w:rPr>
        <w:t>)</w:t>
      </w:r>
      <w:r w:rsidR="00B360CD">
        <w:rPr>
          <w:rFonts w:ascii="Verdana" w:hAnsi="Verdana"/>
          <w:sz w:val="18"/>
          <w:szCs w:val="18"/>
        </w:rPr>
        <w:tab/>
        <w:t>Materieel (2019)</w:t>
      </w:r>
    </w:p>
    <w:p w:rsidR="0061210C" w:rsidRPr="00983D3E" w:rsidRDefault="0061210C" w:rsidP="0061210C">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B360CD">
        <w:rPr>
          <w:rFonts w:ascii="Verdana" w:hAnsi="Verdana"/>
          <w:sz w:val="18"/>
          <w:szCs w:val="18"/>
        </w:rPr>
        <w:t>334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806,-</w:t>
      </w:r>
      <w:r w:rsidR="00B360CD">
        <w:rPr>
          <w:rFonts w:ascii="Verdana" w:hAnsi="Verdana"/>
          <w:sz w:val="18"/>
          <w:szCs w:val="18"/>
        </w:rPr>
        <w:tab/>
      </w:r>
      <w:r w:rsidR="00B360CD">
        <w:rPr>
          <w:rFonts w:ascii="Verdana" w:hAnsi="Verdana"/>
          <w:sz w:val="18"/>
          <w:szCs w:val="18"/>
        </w:rPr>
        <w:tab/>
        <w:t>€    818,-</w:t>
      </w:r>
    </w:p>
    <w:p w:rsidR="0061210C" w:rsidRPr="00983D3E" w:rsidRDefault="0061210C" w:rsidP="0061210C">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B360CD">
        <w:rPr>
          <w:rFonts w:ascii="Verdana" w:hAnsi="Verdana"/>
          <w:sz w:val="18"/>
          <w:szCs w:val="18"/>
        </w:rPr>
        <w:t>76</w:t>
      </w:r>
      <w:r w:rsidR="00BB749C">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229,-</w:t>
      </w:r>
      <w:r w:rsidR="00B360CD">
        <w:rPr>
          <w:rFonts w:ascii="Verdana" w:hAnsi="Verdana"/>
          <w:sz w:val="18"/>
          <w:szCs w:val="18"/>
        </w:rPr>
        <w:tab/>
      </w:r>
      <w:r w:rsidR="00B360CD">
        <w:rPr>
          <w:rFonts w:ascii="Verdana" w:hAnsi="Verdana"/>
          <w:sz w:val="18"/>
          <w:szCs w:val="18"/>
        </w:rPr>
        <w:tab/>
        <w:t>€    233,-</w:t>
      </w:r>
    </w:p>
    <w:p w:rsidR="0061210C" w:rsidRDefault="0061210C" w:rsidP="0061210C">
      <w:pPr>
        <w:rPr>
          <w:rFonts w:ascii="Verdana" w:hAnsi="Verdana"/>
          <w:sz w:val="18"/>
          <w:szCs w:val="18"/>
        </w:rPr>
      </w:pPr>
      <w:r w:rsidRPr="00983D3E">
        <w:rPr>
          <w:rFonts w:ascii="Verdana" w:hAnsi="Verdana"/>
          <w:sz w:val="18"/>
          <w:szCs w:val="18"/>
        </w:rPr>
        <w:t>Bedra</w:t>
      </w:r>
      <w:r>
        <w:rPr>
          <w:rFonts w:ascii="Verdana" w:hAnsi="Verdana"/>
          <w:sz w:val="18"/>
          <w:szCs w:val="18"/>
        </w:rPr>
        <w:t>g b</w:t>
      </w:r>
      <w:r w:rsidR="00B360CD">
        <w:rPr>
          <w:rFonts w:ascii="Verdana" w:hAnsi="Verdana"/>
          <w:sz w:val="18"/>
          <w:szCs w:val="18"/>
        </w:rPr>
        <w:t>asis- en zorgbekostiging</w:t>
      </w:r>
      <w:r w:rsidR="00B360CD">
        <w:rPr>
          <w:rFonts w:ascii="Verdana" w:hAnsi="Verdana"/>
          <w:sz w:val="18"/>
          <w:szCs w:val="18"/>
        </w:rPr>
        <w:tab/>
        <w:t>€ 8</w:t>
      </w:r>
      <w:r w:rsidR="00E01315">
        <w:rPr>
          <w:rFonts w:ascii="Verdana" w:hAnsi="Verdana"/>
          <w:sz w:val="18"/>
          <w:szCs w:val="18"/>
        </w:rPr>
        <w:t>.</w:t>
      </w:r>
      <w:r w:rsidR="00B360CD">
        <w:rPr>
          <w:rFonts w:ascii="Verdana" w:hAnsi="Verdana"/>
          <w:sz w:val="18"/>
          <w:szCs w:val="18"/>
        </w:rPr>
        <w:t>098</w:t>
      </w:r>
      <w:r w:rsidRPr="00983D3E">
        <w:rPr>
          <w:rFonts w:ascii="Verdana" w:hAnsi="Verdana"/>
          <w:sz w:val="18"/>
          <w:szCs w:val="18"/>
        </w:rPr>
        <w:t>,-</w:t>
      </w:r>
      <w:r w:rsidRPr="00983D3E">
        <w:rPr>
          <w:rFonts w:ascii="Verdana" w:hAnsi="Verdana"/>
          <w:sz w:val="18"/>
          <w:szCs w:val="18"/>
        </w:rPr>
        <w:tab/>
      </w:r>
      <w:r w:rsidR="000373AE">
        <w:rPr>
          <w:rFonts w:ascii="Verdana" w:hAnsi="Verdana"/>
          <w:sz w:val="18"/>
          <w:szCs w:val="18"/>
        </w:rPr>
        <w:t>€ 1.035,-</w:t>
      </w:r>
      <w:r w:rsidR="00B360CD">
        <w:rPr>
          <w:rFonts w:ascii="Verdana" w:hAnsi="Verdana"/>
          <w:sz w:val="18"/>
          <w:szCs w:val="18"/>
        </w:rPr>
        <w:tab/>
      </w:r>
      <w:r w:rsidR="00B360CD">
        <w:rPr>
          <w:rFonts w:ascii="Verdana" w:hAnsi="Verdana"/>
          <w:sz w:val="18"/>
          <w:szCs w:val="18"/>
        </w:rPr>
        <w:tab/>
        <w:t>€ 1.051,-</w:t>
      </w:r>
    </w:p>
    <w:p w:rsidR="00E01315" w:rsidRPr="00E01315" w:rsidRDefault="00E01315" w:rsidP="00E01315">
      <w:pPr>
        <w:rPr>
          <w:rFonts w:ascii="Calibri" w:hAnsi="Calibri" w:cs="Calibri"/>
          <w:color w:val="BFBFBF"/>
          <w:sz w:val="20"/>
          <w:szCs w:val="20"/>
        </w:rPr>
      </w:pPr>
      <w:r w:rsidRPr="00E01315">
        <w:rPr>
          <w:rFonts w:ascii="Calibri" w:hAnsi="Calibri" w:cs="Calibri"/>
          <w:color w:val="BFBFBF"/>
          <w:sz w:val="20"/>
          <w:szCs w:val="20"/>
        </w:rPr>
        <w:t xml:space="preserve"> </w:t>
      </w:r>
    </w:p>
    <w:p w:rsidR="0061210C" w:rsidRDefault="0061210C" w:rsidP="0099342B">
      <w:pPr>
        <w:rPr>
          <w:rFonts w:ascii="Verdana" w:hAnsi="Verdana"/>
          <w:b/>
          <w:sz w:val="20"/>
          <w:szCs w:val="20"/>
        </w:rPr>
      </w:pPr>
    </w:p>
    <w:p w:rsidR="003B6899" w:rsidRDefault="003B6899" w:rsidP="003B6899">
      <w:pPr>
        <w:rPr>
          <w:rFonts w:ascii="Verdana" w:hAnsi="Verdana"/>
          <w:b/>
          <w:sz w:val="20"/>
          <w:szCs w:val="20"/>
        </w:rPr>
      </w:pPr>
      <w:r>
        <w:rPr>
          <w:rFonts w:ascii="Verdana" w:hAnsi="Verdana"/>
          <w:b/>
          <w:sz w:val="20"/>
          <w:szCs w:val="20"/>
        </w:rPr>
        <w:br w:type="page"/>
      </w:r>
    </w:p>
    <w:p w:rsidR="003B6899" w:rsidRPr="00493F37" w:rsidRDefault="003B6899" w:rsidP="003B6899">
      <w:pPr>
        <w:rPr>
          <w:rFonts w:ascii="Verdana" w:hAnsi="Verdana"/>
          <w:b/>
          <w:sz w:val="20"/>
          <w:szCs w:val="20"/>
        </w:rPr>
      </w:pPr>
      <w:r w:rsidRPr="00493F37">
        <w:rPr>
          <w:rFonts w:ascii="Verdana" w:hAnsi="Verdana"/>
          <w:b/>
          <w:sz w:val="20"/>
          <w:szCs w:val="20"/>
        </w:rPr>
        <w:lastRenderedPageBreak/>
        <w:t>Bijlage I</w:t>
      </w:r>
      <w:r w:rsidR="00D80976">
        <w:rPr>
          <w:rFonts w:ascii="Verdana" w:hAnsi="Verdana"/>
          <w:b/>
          <w:sz w:val="20"/>
          <w:szCs w:val="20"/>
        </w:rPr>
        <w:t>B</w:t>
      </w:r>
      <w:r w:rsidRPr="00493F37">
        <w:rPr>
          <w:rFonts w:ascii="Verdana" w:hAnsi="Verdana"/>
          <w:b/>
          <w:sz w:val="20"/>
          <w:szCs w:val="20"/>
        </w:rPr>
        <w:t xml:space="preserve"> </w:t>
      </w:r>
      <w:r w:rsidRPr="00493F37">
        <w:rPr>
          <w:rFonts w:ascii="Verdana" w:hAnsi="Verdana"/>
          <w:b/>
          <w:sz w:val="20"/>
          <w:szCs w:val="20"/>
        </w:rPr>
        <w:tab/>
        <w:t>Bedragen 1</w:t>
      </w:r>
      <w:r w:rsidR="00D80976">
        <w:rPr>
          <w:rFonts w:ascii="Verdana" w:hAnsi="Verdana"/>
          <w:b/>
          <w:sz w:val="20"/>
          <w:szCs w:val="20"/>
        </w:rPr>
        <w:t>9</w:t>
      </w:r>
      <w:r w:rsidRPr="00493F37">
        <w:rPr>
          <w:rFonts w:ascii="Verdana" w:hAnsi="Verdana"/>
          <w:b/>
          <w:sz w:val="20"/>
          <w:szCs w:val="20"/>
        </w:rPr>
        <w:t>-</w:t>
      </w:r>
      <w:r w:rsidR="00D80976">
        <w:rPr>
          <w:rFonts w:ascii="Verdana" w:hAnsi="Verdana"/>
          <w:b/>
          <w:sz w:val="20"/>
          <w:szCs w:val="20"/>
        </w:rPr>
        <w:t>20</w:t>
      </w:r>
      <w:r w:rsidRPr="00493F37">
        <w:rPr>
          <w:rFonts w:ascii="Verdana" w:hAnsi="Verdana"/>
          <w:b/>
          <w:sz w:val="20"/>
          <w:szCs w:val="20"/>
        </w:rPr>
        <w:t xml:space="preserve"> lichte ondersteuning </w:t>
      </w:r>
      <w:r>
        <w:rPr>
          <w:rFonts w:ascii="Verdana" w:hAnsi="Verdana"/>
          <w:b/>
          <w:sz w:val="20"/>
          <w:szCs w:val="20"/>
        </w:rPr>
        <w:t xml:space="preserve">(prijspeil </w:t>
      </w:r>
      <w:r w:rsidR="00D80976">
        <w:rPr>
          <w:rFonts w:ascii="Verdana" w:hAnsi="Verdana"/>
          <w:b/>
          <w:sz w:val="20"/>
          <w:szCs w:val="20"/>
        </w:rPr>
        <w:t>apr</w:t>
      </w:r>
      <w:r>
        <w:rPr>
          <w:rFonts w:ascii="Verdana" w:hAnsi="Verdana"/>
          <w:b/>
          <w:sz w:val="20"/>
          <w:szCs w:val="20"/>
        </w:rPr>
        <w:t>. 201</w:t>
      </w:r>
      <w:r w:rsidR="00D80976">
        <w:rPr>
          <w:rFonts w:ascii="Verdana" w:hAnsi="Verdana"/>
          <w:b/>
          <w:sz w:val="20"/>
          <w:szCs w:val="20"/>
        </w:rPr>
        <w:t>9</w:t>
      </w:r>
      <w:r>
        <w:rPr>
          <w:rFonts w:ascii="Verdana" w:hAnsi="Verdana"/>
          <w:b/>
          <w:sz w:val="20"/>
          <w:szCs w:val="20"/>
        </w:rPr>
        <w:t>)</w:t>
      </w:r>
    </w:p>
    <w:p w:rsidR="003B6899" w:rsidRPr="00493F37" w:rsidRDefault="003B6899" w:rsidP="003B6899">
      <w:pPr>
        <w:rPr>
          <w:rFonts w:ascii="Verdana" w:hAnsi="Verdana"/>
          <w:sz w:val="20"/>
          <w:szCs w:val="20"/>
        </w:rPr>
      </w:pPr>
    </w:p>
    <w:p w:rsidR="003B6899" w:rsidRPr="00983D3E" w:rsidRDefault="003B6899" w:rsidP="003B6899">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 xml:space="preserve">Norm toekenning personele </w:t>
      </w:r>
      <w:r>
        <w:rPr>
          <w:rFonts w:ascii="Verdana" w:hAnsi="Verdana"/>
          <w:b/>
          <w:sz w:val="18"/>
          <w:szCs w:val="18"/>
        </w:rPr>
        <w:t>ondersteunings</w:t>
      </w:r>
      <w:r w:rsidRPr="00983D3E">
        <w:rPr>
          <w:rFonts w:ascii="Verdana" w:hAnsi="Verdana"/>
          <w:b/>
          <w:sz w:val="18"/>
          <w:szCs w:val="18"/>
        </w:rPr>
        <w:t xml:space="preserve">bekostiging </w:t>
      </w:r>
      <w:r>
        <w:rPr>
          <w:rFonts w:ascii="Verdana" w:hAnsi="Verdana"/>
          <w:b/>
          <w:sz w:val="18"/>
          <w:szCs w:val="18"/>
        </w:rPr>
        <w:t xml:space="preserve">SWV </w:t>
      </w:r>
      <w:r w:rsidRPr="00983D3E">
        <w:rPr>
          <w:rFonts w:ascii="Verdana" w:hAnsi="Verdana"/>
          <w:b/>
          <w:sz w:val="18"/>
          <w:szCs w:val="18"/>
        </w:rPr>
        <w:t>(1</w:t>
      </w:r>
      <w:r w:rsidR="00D80976">
        <w:rPr>
          <w:rFonts w:ascii="Verdana" w:hAnsi="Verdana"/>
          <w:b/>
          <w:sz w:val="18"/>
          <w:szCs w:val="18"/>
        </w:rPr>
        <w:t>9</w:t>
      </w:r>
      <w:r w:rsidRPr="00983D3E">
        <w:rPr>
          <w:rFonts w:ascii="Verdana" w:hAnsi="Verdana"/>
          <w:b/>
          <w:sz w:val="18"/>
          <w:szCs w:val="18"/>
        </w:rPr>
        <w:t>-</w:t>
      </w:r>
      <w:r w:rsidR="00D80976">
        <w:rPr>
          <w:rFonts w:ascii="Verdana" w:hAnsi="Verdana"/>
          <w:b/>
          <w:sz w:val="18"/>
          <w:szCs w:val="18"/>
        </w:rPr>
        <w:t>20</w:t>
      </w:r>
      <w:r w:rsidRPr="00983D3E">
        <w:rPr>
          <w:rFonts w:ascii="Verdana" w:hAnsi="Verdana"/>
          <w:b/>
          <w:sz w:val="18"/>
          <w:szCs w:val="18"/>
        </w:rPr>
        <w:t>)</w:t>
      </w:r>
    </w:p>
    <w:p w:rsidR="003B6899" w:rsidRPr="00983D3E" w:rsidRDefault="003B6899" w:rsidP="003B6899">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D80976">
        <w:rPr>
          <w:rFonts w:ascii="Verdana" w:hAnsi="Verdana"/>
          <w:sz w:val="18"/>
          <w:szCs w:val="18"/>
        </w:rPr>
        <w:t>74,90</w:t>
      </w:r>
      <w:r w:rsidRPr="00983D3E">
        <w:rPr>
          <w:rFonts w:ascii="Verdana" w:hAnsi="Verdana"/>
          <w:sz w:val="18"/>
          <w:szCs w:val="18"/>
        </w:rPr>
        <w:t xml:space="preserve"> </w:t>
      </w:r>
    </w:p>
    <w:p w:rsidR="003B6899" w:rsidRPr="00983D3E" w:rsidRDefault="003B6899" w:rsidP="003B6899">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sidR="00D80976">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w:t>
      </w:r>
      <w:r w:rsidR="00D80976">
        <w:rPr>
          <w:rFonts w:ascii="Verdana" w:hAnsi="Verdana"/>
          <w:sz w:val="18"/>
          <w:szCs w:val="18"/>
        </w:rPr>
        <w:t>2,55</w:t>
      </w:r>
      <w:r w:rsidR="00D80976">
        <w:rPr>
          <w:rStyle w:val="Voetnootmarkering"/>
          <w:rFonts w:ascii="Verdana" w:hAnsi="Verdana"/>
          <w:sz w:val="18"/>
          <w:szCs w:val="18"/>
        </w:rPr>
        <w:footnoteReference w:id="14"/>
      </w:r>
      <w:r w:rsidRPr="00983D3E">
        <w:rPr>
          <w:rFonts w:ascii="Verdana" w:hAnsi="Verdana"/>
          <w:sz w:val="18"/>
          <w:szCs w:val="18"/>
        </w:rPr>
        <w:t xml:space="preserve"> </w:t>
      </w:r>
    </w:p>
    <w:p w:rsidR="003B6899" w:rsidRPr="00983D3E" w:rsidRDefault="003B6899" w:rsidP="003B6899">
      <w:pPr>
        <w:rPr>
          <w:rFonts w:ascii="Verdana" w:hAnsi="Verdana"/>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D80976">
        <w:rPr>
          <w:rFonts w:ascii="Verdana" w:hAnsi="Verdana"/>
          <w:b/>
          <w:sz w:val="18"/>
          <w:szCs w:val="18"/>
        </w:rPr>
        <w:t>9</w:t>
      </w:r>
      <w:r w:rsidRPr="00983D3E">
        <w:rPr>
          <w:rFonts w:ascii="Verdana" w:hAnsi="Verdana"/>
          <w:b/>
          <w:sz w:val="18"/>
          <w:szCs w:val="18"/>
        </w:rPr>
        <w:t>-20</w:t>
      </w:r>
      <w:r w:rsidR="00D80976">
        <w:rPr>
          <w:rFonts w:ascii="Verdana" w:hAnsi="Verdana"/>
          <w:b/>
          <w:sz w:val="18"/>
          <w:szCs w:val="18"/>
        </w:rPr>
        <w:t>20</w:t>
      </w:r>
    </w:p>
    <w:p w:rsidR="003B6899" w:rsidRPr="00983D3E" w:rsidRDefault="003B6899" w:rsidP="003B6899">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3B6899" w:rsidRPr="00D02EA9" w:rsidRDefault="003B6899" w:rsidP="003B6899">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BB17D4">
        <w:rPr>
          <w:rFonts w:ascii="Verdana" w:hAnsi="Verdana"/>
          <w:sz w:val="18"/>
          <w:szCs w:val="18"/>
        </w:rPr>
        <w:t>434</w:t>
      </w:r>
      <w:r>
        <w:rPr>
          <w:rFonts w:ascii="Verdana" w:hAnsi="Verdana"/>
          <w:sz w:val="18"/>
          <w:szCs w:val="18"/>
        </w:rPr>
        <w:t>,</w:t>
      </w:r>
      <w:r w:rsidR="00BB17D4">
        <w:rPr>
          <w:rFonts w:ascii="Verdana" w:hAnsi="Verdana"/>
          <w:sz w:val="18"/>
          <w:szCs w:val="18"/>
        </w:rPr>
        <w:t>28</w:t>
      </w:r>
      <w:r w:rsidRPr="00D02EA9">
        <w:rPr>
          <w:rFonts w:ascii="Verdana" w:hAnsi="Verdana"/>
          <w:sz w:val="18"/>
          <w:szCs w:val="18"/>
        </w:rPr>
        <w:t xml:space="preserve"> plus € </w:t>
      </w:r>
      <w:r>
        <w:rPr>
          <w:rFonts w:ascii="Verdana" w:hAnsi="Verdana"/>
          <w:sz w:val="18"/>
          <w:szCs w:val="18"/>
        </w:rPr>
        <w:t>4</w:t>
      </w:r>
      <w:r w:rsidR="00BB17D4">
        <w:rPr>
          <w:rFonts w:ascii="Verdana" w:hAnsi="Verdana"/>
          <w:sz w:val="18"/>
          <w:szCs w:val="18"/>
        </w:rPr>
        <w:t>6,44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00BB17D4">
        <w:rPr>
          <w:rFonts w:ascii="Verdana" w:hAnsi="Verdana"/>
          <w:sz w:val="18"/>
          <w:szCs w:val="18"/>
        </w:rPr>
        <w:t>3</w:t>
      </w:r>
      <w:r>
        <w:rPr>
          <w:rFonts w:ascii="Verdana" w:hAnsi="Verdana"/>
          <w:sz w:val="18"/>
          <w:szCs w:val="18"/>
        </w:rPr>
        <w:t>3</w:t>
      </w:r>
      <w:r w:rsidR="00BB17D4">
        <w:rPr>
          <w:rFonts w:ascii="Verdana" w:hAnsi="Verdana"/>
          <w:sz w:val="18"/>
          <w:szCs w:val="18"/>
        </w:rPr>
        <w:t>5</w:t>
      </w:r>
      <w:r>
        <w:rPr>
          <w:rFonts w:ascii="Verdana" w:hAnsi="Verdana"/>
          <w:sz w:val="18"/>
          <w:szCs w:val="18"/>
        </w:rPr>
        <w:t>,</w:t>
      </w:r>
      <w:r w:rsidR="00BB17D4">
        <w:rPr>
          <w:rFonts w:ascii="Verdana" w:hAnsi="Verdana"/>
          <w:sz w:val="18"/>
          <w:szCs w:val="18"/>
        </w:rPr>
        <w:t>59</w:t>
      </w:r>
    </w:p>
    <w:p w:rsidR="003B6899" w:rsidRPr="00D02EA9" w:rsidRDefault="003B6899" w:rsidP="003B6899">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BB17D4">
        <w:rPr>
          <w:rFonts w:ascii="Verdana" w:hAnsi="Verdana"/>
          <w:sz w:val="18"/>
          <w:szCs w:val="18"/>
        </w:rPr>
        <w:t>2,049</w:t>
      </w:r>
      <w:r>
        <w:rPr>
          <w:rFonts w:ascii="Verdana" w:hAnsi="Verdana"/>
          <w:sz w:val="18"/>
          <w:szCs w:val="18"/>
        </w:rPr>
        <w:t>,</w:t>
      </w:r>
      <w:r w:rsidR="00BB17D4">
        <w:rPr>
          <w:rFonts w:ascii="Verdana" w:hAnsi="Verdana"/>
          <w:sz w:val="18"/>
          <w:szCs w:val="18"/>
        </w:rPr>
        <w:t>88</w:t>
      </w:r>
      <w:r w:rsidRPr="00D02EA9">
        <w:rPr>
          <w:rFonts w:ascii="Verdana" w:hAnsi="Verdana"/>
          <w:sz w:val="18"/>
          <w:szCs w:val="18"/>
        </w:rPr>
        <w:t xml:space="preserve"> plus € </w:t>
      </w:r>
      <w:r>
        <w:rPr>
          <w:rFonts w:ascii="Verdana" w:hAnsi="Verdana"/>
          <w:sz w:val="18"/>
          <w:szCs w:val="18"/>
        </w:rPr>
        <w:t>6</w:t>
      </w:r>
      <w:r w:rsidR="00BB17D4">
        <w:rPr>
          <w:rFonts w:ascii="Verdana" w:hAnsi="Verdana"/>
          <w:sz w:val="18"/>
          <w:szCs w:val="18"/>
        </w:rPr>
        <w:t>6,37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BB17D4">
        <w:rPr>
          <w:rFonts w:ascii="Verdana" w:hAnsi="Verdana"/>
          <w:sz w:val="18"/>
          <w:szCs w:val="18"/>
        </w:rPr>
        <w:t>767,23</w:t>
      </w:r>
    </w:p>
    <w:p w:rsidR="003B6899" w:rsidRPr="00D02EA9" w:rsidRDefault="003B6899" w:rsidP="003B6899">
      <w:pPr>
        <w:rPr>
          <w:rFonts w:ascii="Verdana" w:hAnsi="Verdana"/>
          <w:sz w:val="18"/>
          <w:szCs w:val="18"/>
        </w:rPr>
      </w:pPr>
      <w:r w:rsidRPr="00022C83">
        <w:rPr>
          <w:rFonts w:ascii="Verdana" w:hAnsi="Verdana"/>
          <w:sz w:val="18"/>
          <w:szCs w:val="18"/>
        </w:rPr>
        <w:t>2.3</w:t>
      </w:r>
      <w:r w:rsidRPr="00022C83">
        <w:rPr>
          <w:rFonts w:ascii="Verdana" w:hAnsi="Verdana"/>
          <w:sz w:val="18"/>
          <w:szCs w:val="18"/>
        </w:rPr>
        <w:tab/>
      </w:r>
      <w:proofErr w:type="spellStart"/>
      <w:r w:rsidRPr="00022C83">
        <w:rPr>
          <w:rFonts w:ascii="Verdana" w:hAnsi="Verdana"/>
          <w:sz w:val="18"/>
          <w:szCs w:val="18"/>
        </w:rPr>
        <w:t>Cumi</w:t>
      </w:r>
      <w:proofErr w:type="spellEnd"/>
      <w:r w:rsidRPr="00022C83">
        <w:rPr>
          <w:rFonts w:ascii="Verdana" w:hAnsi="Verdana"/>
          <w:sz w:val="18"/>
          <w:szCs w:val="18"/>
        </w:rPr>
        <w:t xml:space="preserve"> (vanaf de 5</w:t>
      </w:r>
      <w:r w:rsidRPr="00022C83">
        <w:rPr>
          <w:rFonts w:ascii="Verdana" w:hAnsi="Verdana"/>
          <w:sz w:val="18"/>
          <w:szCs w:val="18"/>
          <w:vertAlign w:val="superscript"/>
        </w:rPr>
        <w:t>e</w:t>
      </w:r>
      <w:r w:rsidRPr="00022C83">
        <w:rPr>
          <w:rFonts w:ascii="Verdana" w:hAnsi="Verdana"/>
          <w:sz w:val="18"/>
          <w:szCs w:val="18"/>
        </w:rPr>
        <w:t xml:space="preserve"> </w:t>
      </w:r>
      <w:proofErr w:type="spellStart"/>
      <w:r w:rsidRPr="00022C83">
        <w:rPr>
          <w:rFonts w:ascii="Verdana" w:hAnsi="Verdana"/>
          <w:sz w:val="18"/>
          <w:szCs w:val="18"/>
        </w:rPr>
        <w:t>ll</w:t>
      </w:r>
      <w:proofErr w:type="spellEnd"/>
      <w:r w:rsidRPr="00022C83">
        <w:rPr>
          <w:rFonts w:ascii="Verdana" w:hAnsi="Verdana"/>
          <w:sz w:val="18"/>
          <w:szCs w:val="18"/>
        </w:rPr>
        <w:t>)</w:t>
      </w:r>
      <w:r w:rsidRPr="00022C83">
        <w:rPr>
          <w:rFonts w:ascii="Verdana" w:hAnsi="Verdana"/>
          <w:sz w:val="18"/>
          <w:szCs w:val="18"/>
        </w:rPr>
        <w:tab/>
        <w:t xml:space="preserve">0,0401 fte: </w:t>
      </w:r>
      <w:r w:rsidRPr="00022C83">
        <w:rPr>
          <w:rFonts w:ascii="Verdana" w:hAnsi="Verdana"/>
          <w:sz w:val="18"/>
          <w:szCs w:val="18"/>
        </w:rPr>
        <w:tab/>
        <w:t>€ 1.2</w:t>
      </w:r>
      <w:r w:rsidR="00BB17D4">
        <w:rPr>
          <w:rFonts w:ascii="Verdana" w:hAnsi="Verdana"/>
          <w:sz w:val="18"/>
          <w:szCs w:val="18"/>
        </w:rPr>
        <w:t>7</w:t>
      </w:r>
      <w:r>
        <w:rPr>
          <w:rFonts w:ascii="Verdana" w:hAnsi="Verdana"/>
          <w:sz w:val="18"/>
          <w:szCs w:val="18"/>
        </w:rPr>
        <w:t>2</w:t>
      </w:r>
      <w:r w:rsidRPr="00022C83">
        <w:rPr>
          <w:rFonts w:ascii="Verdana" w:hAnsi="Verdana"/>
          <w:sz w:val="18"/>
          <w:szCs w:val="18"/>
        </w:rPr>
        <w:t>,</w:t>
      </w:r>
      <w:r w:rsidR="00BB17D4">
        <w:rPr>
          <w:rFonts w:ascii="Verdana" w:hAnsi="Verdana"/>
          <w:sz w:val="18"/>
          <w:szCs w:val="18"/>
        </w:rPr>
        <w:t>4</w:t>
      </w:r>
      <w:r w:rsidRPr="00022C83">
        <w:rPr>
          <w:rFonts w:ascii="Verdana" w:hAnsi="Verdana"/>
          <w:sz w:val="18"/>
          <w:szCs w:val="18"/>
        </w:rPr>
        <w:t xml:space="preserve">5 plus € </w:t>
      </w:r>
      <w:r w:rsidR="00BB17D4">
        <w:rPr>
          <w:rFonts w:ascii="Verdana" w:hAnsi="Verdana"/>
          <w:sz w:val="18"/>
          <w:szCs w:val="18"/>
        </w:rPr>
        <w:t>41,20</w:t>
      </w:r>
      <w:r w:rsidRPr="00022C83">
        <w:rPr>
          <w:rFonts w:ascii="Verdana" w:hAnsi="Verdana"/>
          <w:sz w:val="18"/>
          <w:szCs w:val="18"/>
        </w:rPr>
        <w:t xml:space="preserve"> x GGL</w:t>
      </w:r>
      <w:r w:rsidRPr="00022C83">
        <w:rPr>
          <w:rFonts w:ascii="Verdana" w:hAnsi="Verdana"/>
          <w:sz w:val="18"/>
          <w:szCs w:val="18"/>
        </w:rPr>
        <w:tab/>
      </w:r>
      <w:r w:rsidRPr="00022C83">
        <w:rPr>
          <w:rFonts w:ascii="Verdana" w:hAnsi="Verdana"/>
          <w:sz w:val="18"/>
          <w:szCs w:val="18"/>
        </w:rPr>
        <w:tab/>
        <w:t>€ 2.</w:t>
      </w:r>
      <w:r w:rsidR="00BB17D4">
        <w:rPr>
          <w:rFonts w:ascii="Verdana" w:hAnsi="Verdana"/>
          <w:sz w:val="18"/>
          <w:szCs w:val="18"/>
        </w:rPr>
        <w:t>959</w:t>
      </w:r>
      <w:r w:rsidRPr="00022C83">
        <w:rPr>
          <w:rFonts w:ascii="Verdana" w:hAnsi="Verdana"/>
          <w:sz w:val="18"/>
          <w:szCs w:val="18"/>
        </w:rPr>
        <w:t>,</w:t>
      </w:r>
      <w:r w:rsidR="00BB17D4">
        <w:rPr>
          <w:rFonts w:ascii="Verdana" w:hAnsi="Verdana"/>
          <w:sz w:val="18"/>
          <w:szCs w:val="18"/>
        </w:rPr>
        <w:t>23</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BB17D4">
        <w:rPr>
          <w:rFonts w:ascii="Verdana" w:hAnsi="Verdana"/>
          <w:b/>
          <w:sz w:val="18"/>
          <w:szCs w:val="18"/>
        </w:rPr>
        <w:t>9</w:t>
      </w:r>
      <w:r w:rsidRPr="00983D3E">
        <w:rPr>
          <w:rFonts w:ascii="Verdana" w:hAnsi="Verdana"/>
          <w:b/>
          <w:sz w:val="18"/>
          <w:szCs w:val="18"/>
        </w:rPr>
        <w:t>)</w:t>
      </w:r>
      <w:r w:rsidRPr="00022C83">
        <w:rPr>
          <w:rFonts w:ascii="Calibri" w:hAnsi="Calibri" w:cs="Calibri"/>
          <w:sz w:val="20"/>
          <w:szCs w:val="20"/>
        </w:rPr>
        <w:t xml:space="preserve"> </w:t>
      </w:r>
    </w:p>
    <w:p w:rsidR="00BB17D4" w:rsidRPr="00983D3E" w:rsidRDefault="00BB17D4" w:rsidP="00BB17D4">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818</w:t>
      </w:r>
      <w:r w:rsidRPr="00983D3E">
        <w:rPr>
          <w:rFonts w:ascii="Verdana" w:hAnsi="Verdana"/>
          <w:sz w:val="18"/>
          <w:szCs w:val="18"/>
        </w:rPr>
        <w:t>,-)</w:t>
      </w:r>
    </w:p>
    <w:p w:rsidR="00BB17D4" w:rsidRPr="00983D3E" w:rsidRDefault="00BB17D4" w:rsidP="00BB17D4">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232,62</w:t>
      </w:r>
    </w:p>
    <w:p w:rsidR="00BB17D4" w:rsidRPr="00983D3E" w:rsidRDefault="00BB17D4" w:rsidP="00BB17D4">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EB7F8C">
        <w:rPr>
          <w:rFonts w:ascii="Verdana" w:hAnsi="Verdana"/>
          <w:sz w:val="18"/>
          <w:szCs w:val="18"/>
        </w:rPr>
        <w:t>72</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sidR="00BB17D4">
        <w:rPr>
          <w:rFonts w:ascii="Verdana" w:hAnsi="Verdana"/>
          <w:b/>
          <w:sz w:val="18"/>
          <w:szCs w:val="18"/>
        </w:rPr>
        <w:t xml:space="preserve">20, </w:t>
      </w:r>
      <w:r w:rsidR="00BB17D4" w:rsidRPr="00EB7F8C">
        <w:rPr>
          <w:rFonts w:ascii="Verdana" w:hAnsi="Verdana"/>
          <w:b/>
          <w:sz w:val="18"/>
          <w:szCs w:val="18"/>
          <w:highlight w:val="yellow"/>
        </w:rPr>
        <w:t>bijstelling in sept. 2019</w:t>
      </w:r>
      <w:r w:rsidRPr="00983D3E">
        <w:rPr>
          <w:rFonts w:ascii="Verdana" w:hAnsi="Verdana"/>
          <w:b/>
          <w:sz w:val="18"/>
          <w:szCs w:val="18"/>
        </w:rPr>
        <w:t>)</w:t>
      </w:r>
    </w:p>
    <w:p w:rsidR="003B6899" w:rsidRPr="00983D3E" w:rsidRDefault="003B6899" w:rsidP="003B6899">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Pr="00EB7F8C">
        <w:rPr>
          <w:rFonts w:ascii="Verdana" w:hAnsi="Verdana"/>
          <w:sz w:val="18"/>
          <w:szCs w:val="18"/>
          <w:highlight w:val="yellow"/>
        </w:rPr>
        <w:t>8</w:t>
      </w:r>
      <w:r w:rsidR="00BB17D4" w:rsidRPr="00EB7F8C">
        <w:rPr>
          <w:rFonts w:ascii="Verdana" w:hAnsi="Verdana"/>
          <w:sz w:val="18"/>
          <w:szCs w:val="18"/>
          <w:highlight w:val="yellow"/>
        </w:rPr>
        <w:t>18</w:t>
      </w:r>
      <w:r w:rsidRPr="00983D3E">
        <w:rPr>
          <w:rFonts w:ascii="Verdana" w:hAnsi="Verdana"/>
          <w:sz w:val="18"/>
          <w:szCs w:val="18"/>
        </w:rPr>
        <w:t>,-)</w:t>
      </w:r>
    </w:p>
    <w:p w:rsidR="003B6899" w:rsidRPr="00983D3E" w:rsidRDefault="003B6899" w:rsidP="003B6899">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Pr="00EB7F8C">
        <w:rPr>
          <w:rFonts w:ascii="Verdana" w:hAnsi="Verdana"/>
          <w:sz w:val="18"/>
          <w:szCs w:val="18"/>
          <w:highlight w:val="yellow"/>
        </w:rPr>
        <w:t>2</w:t>
      </w:r>
      <w:r w:rsidR="00EB7F8C" w:rsidRPr="00EB7F8C">
        <w:rPr>
          <w:rFonts w:ascii="Verdana" w:hAnsi="Verdana"/>
          <w:sz w:val="18"/>
          <w:szCs w:val="18"/>
          <w:highlight w:val="yellow"/>
        </w:rPr>
        <w:t>3</w:t>
      </w:r>
      <w:r w:rsidRPr="00EB7F8C">
        <w:rPr>
          <w:rFonts w:ascii="Verdana" w:hAnsi="Verdana"/>
          <w:sz w:val="18"/>
          <w:szCs w:val="18"/>
          <w:highlight w:val="yellow"/>
        </w:rPr>
        <w:t>2,</w:t>
      </w:r>
      <w:r w:rsidR="00EB7F8C" w:rsidRPr="00EB7F8C">
        <w:rPr>
          <w:rFonts w:ascii="Verdana" w:hAnsi="Verdana"/>
          <w:sz w:val="18"/>
          <w:szCs w:val="18"/>
          <w:highlight w:val="yellow"/>
        </w:rPr>
        <w:t>62</w:t>
      </w:r>
    </w:p>
    <w:p w:rsidR="003B6899" w:rsidRPr="00983D3E" w:rsidRDefault="003B6899" w:rsidP="003B6899">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Pr="00EB7F8C">
        <w:rPr>
          <w:rFonts w:ascii="Verdana" w:hAnsi="Verdana"/>
          <w:sz w:val="18"/>
          <w:szCs w:val="18"/>
          <w:highlight w:val="yellow"/>
        </w:rPr>
        <w:t>7,</w:t>
      </w:r>
      <w:r w:rsidR="00EB7F8C" w:rsidRPr="00EB7F8C">
        <w:rPr>
          <w:rFonts w:ascii="Verdana" w:hAnsi="Verdana"/>
          <w:sz w:val="18"/>
          <w:szCs w:val="18"/>
          <w:highlight w:val="yellow"/>
        </w:rPr>
        <w:t>72</w:t>
      </w:r>
    </w:p>
    <w:p w:rsidR="003B6899" w:rsidRDefault="003B6899" w:rsidP="003B6899">
      <w:pPr>
        <w:rPr>
          <w:rFonts w:ascii="Verdana" w:hAnsi="Verdana"/>
          <w:b/>
          <w:sz w:val="18"/>
          <w:szCs w:val="18"/>
        </w:rPr>
      </w:pPr>
    </w:p>
    <w:p w:rsidR="003B6899" w:rsidRPr="00983D3E" w:rsidRDefault="003B6899" w:rsidP="003B6899">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EB7F8C">
        <w:rPr>
          <w:rFonts w:ascii="Verdana" w:hAnsi="Verdana"/>
          <w:b/>
          <w:sz w:val="18"/>
          <w:szCs w:val="18"/>
        </w:rPr>
        <w:t>9</w:t>
      </w:r>
      <w:r w:rsidRPr="00983D3E">
        <w:rPr>
          <w:rFonts w:ascii="Verdana" w:hAnsi="Verdana"/>
          <w:b/>
          <w:sz w:val="18"/>
          <w:szCs w:val="18"/>
        </w:rPr>
        <w:t>-</w:t>
      </w:r>
      <w:r w:rsidR="00EB7F8C">
        <w:rPr>
          <w:rFonts w:ascii="Verdana" w:hAnsi="Verdana"/>
          <w:b/>
          <w:sz w:val="18"/>
          <w:szCs w:val="18"/>
        </w:rPr>
        <w:t>20</w:t>
      </w:r>
      <w:r w:rsidRPr="00983D3E">
        <w:rPr>
          <w:rFonts w:ascii="Verdana" w:hAnsi="Verdana"/>
          <w:b/>
          <w:sz w:val="18"/>
          <w:szCs w:val="18"/>
        </w:rPr>
        <w:t>)</w:t>
      </w:r>
    </w:p>
    <w:p w:rsidR="003B6899" w:rsidRPr="00983D3E" w:rsidRDefault="003B6899" w:rsidP="003B6899">
      <w:pPr>
        <w:rPr>
          <w:rFonts w:ascii="Verdana" w:hAnsi="Verdana"/>
          <w:sz w:val="18"/>
          <w:szCs w:val="18"/>
        </w:rPr>
      </w:pPr>
      <w:r>
        <w:rPr>
          <w:rFonts w:ascii="Verdana" w:hAnsi="Verdana"/>
          <w:sz w:val="18"/>
          <w:szCs w:val="18"/>
        </w:rPr>
        <w:t>4.1</w:t>
      </w: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sidR="00EB7F8C">
        <w:rPr>
          <w:rFonts w:ascii="Verdana" w:hAnsi="Verdana"/>
          <w:sz w:val="18"/>
          <w:szCs w:val="18"/>
        </w:rPr>
        <w:t>969,70</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8</w:t>
      </w:r>
      <w:r w:rsidR="00EB7F8C">
        <w:rPr>
          <w:rFonts w:ascii="Verdana" w:hAnsi="Verdana"/>
          <w:sz w:val="18"/>
          <w:szCs w:val="18"/>
        </w:rPr>
        <w:t>9,50</w:t>
      </w:r>
    </w:p>
    <w:p w:rsidR="003B6899" w:rsidRPr="00983D3E" w:rsidRDefault="003B6899" w:rsidP="003B6899">
      <w:pPr>
        <w:numPr>
          <w:ilvl w:val="0"/>
          <w:numId w:val="19"/>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3</w:t>
      </w:r>
      <w:r w:rsidRPr="00983D3E">
        <w:rPr>
          <w:rFonts w:ascii="Verdana" w:hAnsi="Verdana"/>
          <w:sz w:val="18"/>
          <w:szCs w:val="18"/>
        </w:rPr>
        <w:t>.</w:t>
      </w:r>
      <w:r w:rsidR="00EB7F8C">
        <w:rPr>
          <w:rFonts w:ascii="Verdana" w:hAnsi="Verdana"/>
          <w:sz w:val="18"/>
          <w:szCs w:val="18"/>
        </w:rPr>
        <w:t>524,36</w:t>
      </w:r>
    </w:p>
    <w:p w:rsidR="003B6899" w:rsidRPr="00983D3E" w:rsidRDefault="003B6899" w:rsidP="003B6899">
      <w:pPr>
        <w:rPr>
          <w:rFonts w:ascii="Verdana" w:hAnsi="Verdana"/>
          <w:sz w:val="18"/>
          <w:szCs w:val="18"/>
        </w:rPr>
      </w:pPr>
    </w:p>
    <w:p w:rsidR="003B6899" w:rsidRPr="00983D3E" w:rsidRDefault="003B6899" w:rsidP="003B6899">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D80976">
        <w:rPr>
          <w:rFonts w:ascii="Verdana" w:hAnsi="Verdana"/>
          <w:b/>
          <w:bCs/>
          <w:sz w:val="18"/>
          <w:szCs w:val="18"/>
        </w:rPr>
        <w:t>9</w:t>
      </w:r>
      <w:r w:rsidRPr="00983D3E">
        <w:rPr>
          <w:rFonts w:ascii="Verdana" w:hAnsi="Verdana"/>
          <w:b/>
          <w:bCs/>
          <w:sz w:val="18"/>
          <w:szCs w:val="18"/>
        </w:rPr>
        <w:t>-20</w:t>
      </w:r>
      <w:r w:rsidR="00D80976">
        <w:rPr>
          <w:rFonts w:ascii="Verdana" w:hAnsi="Verdana"/>
          <w:b/>
          <w:bCs/>
          <w:sz w:val="18"/>
          <w:szCs w:val="18"/>
        </w:rPr>
        <w:t>20</w:t>
      </w:r>
    </w:p>
    <w:p w:rsidR="003B6899" w:rsidRPr="00983D3E" w:rsidRDefault="003B6899" w:rsidP="003B6899">
      <w:pPr>
        <w:rPr>
          <w:rFonts w:ascii="Verdana" w:hAnsi="Verdana"/>
          <w:b/>
          <w:bCs/>
          <w:sz w:val="18"/>
          <w:szCs w:val="18"/>
        </w:rPr>
      </w:pPr>
      <w:r>
        <w:rPr>
          <w:rFonts w:ascii="Verdana" w:hAnsi="Verdana"/>
          <w:b/>
          <w:bCs/>
          <w:sz w:val="18"/>
          <w:szCs w:val="18"/>
        </w:rPr>
        <w:t>5.1</w:t>
      </w:r>
      <w:r w:rsidRPr="00983D3E">
        <w:rPr>
          <w:rFonts w:ascii="Verdana" w:hAnsi="Verdana"/>
          <w:b/>
          <w:bCs/>
          <w:sz w:val="18"/>
          <w:szCs w:val="18"/>
        </w:rPr>
        <w:tab/>
        <w:t>GPL bedragen SBO</w:t>
      </w:r>
    </w:p>
    <w:p w:rsidR="003B6899" w:rsidRPr="00983D3E" w:rsidRDefault="003B6899" w:rsidP="003B6899">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D80976">
        <w:rPr>
          <w:rFonts w:ascii="Verdana" w:hAnsi="Verdana"/>
          <w:sz w:val="18"/>
          <w:szCs w:val="18"/>
        </w:rPr>
        <w:t>9</w:t>
      </w:r>
      <w:r>
        <w:rPr>
          <w:rFonts w:ascii="Verdana" w:hAnsi="Verdana"/>
          <w:sz w:val="18"/>
          <w:szCs w:val="18"/>
        </w:rPr>
        <w:t>.</w:t>
      </w:r>
      <w:r w:rsidR="00D80976">
        <w:rPr>
          <w:rFonts w:ascii="Verdana" w:hAnsi="Verdana"/>
          <w:sz w:val="18"/>
          <w:szCs w:val="18"/>
        </w:rPr>
        <w:t>294,17</w:t>
      </w:r>
    </w:p>
    <w:p w:rsidR="003B6899" w:rsidRPr="00983D3E" w:rsidRDefault="003B6899" w:rsidP="003B6899">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D80976">
        <w:rPr>
          <w:rFonts w:ascii="Verdana" w:hAnsi="Verdana"/>
          <w:sz w:val="18"/>
          <w:szCs w:val="18"/>
        </w:rPr>
        <w:t>3</w:t>
      </w:r>
      <w:r>
        <w:rPr>
          <w:rFonts w:ascii="Verdana" w:hAnsi="Verdana"/>
          <w:sz w:val="18"/>
          <w:szCs w:val="18"/>
        </w:rPr>
        <w:t>.</w:t>
      </w:r>
      <w:r w:rsidR="00D80976">
        <w:rPr>
          <w:rFonts w:ascii="Verdana" w:hAnsi="Verdana"/>
          <w:sz w:val="18"/>
          <w:szCs w:val="18"/>
        </w:rPr>
        <w:t>796,20</w:t>
      </w:r>
    </w:p>
    <w:p w:rsidR="003B6899" w:rsidRPr="00983D3E" w:rsidRDefault="003B6899" w:rsidP="003B6899">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D80976">
        <w:rPr>
          <w:rFonts w:ascii="Verdana" w:hAnsi="Verdana"/>
          <w:sz w:val="18"/>
          <w:szCs w:val="18"/>
        </w:rPr>
        <w:t>5</w:t>
      </w:r>
      <w:r>
        <w:rPr>
          <w:rFonts w:ascii="Verdana" w:hAnsi="Verdana"/>
          <w:sz w:val="18"/>
          <w:szCs w:val="18"/>
        </w:rPr>
        <w:t>.</w:t>
      </w:r>
      <w:r w:rsidR="00D80976">
        <w:rPr>
          <w:rFonts w:ascii="Verdana" w:hAnsi="Verdana"/>
          <w:sz w:val="18"/>
          <w:szCs w:val="18"/>
        </w:rPr>
        <w:t>497,97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D80976">
        <w:rPr>
          <w:rFonts w:ascii="Verdana" w:hAnsi="Verdana"/>
          <w:sz w:val="18"/>
          <w:szCs w:val="18"/>
        </w:rPr>
        <w:t>631</w:t>
      </w:r>
    </w:p>
    <w:p w:rsidR="003B6899" w:rsidRPr="00983D3E" w:rsidRDefault="003B6899" w:rsidP="003B6899">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D80976">
        <w:rPr>
          <w:rFonts w:ascii="Verdana" w:hAnsi="Verdana"/>
          <w:sz w:val="18"/>
          <w:szCs w:val="18"/>
        </w:rPr>
        <w:t>1</w:t>
      </w:r>
      <w:r w:rsidRPr="00983D3E">
        <w:rPr>
          <w:rFonts w:ascii="Verdana" w:hAnsi="Verdana"/>
          <w:sz w:val="18"/>
          <w:szCs w:val="18"/>
        </w:rPr>
        <w:t>.</w:t>
      </w:r>
      <w:r w:rsidR="00D80976">
        <w:rPr>
          <w:rFonts w:ascii="Verdana" w:hAnsi="Verdana"/>
          <w:sz w:val="18"/>
          <w:szCs w:val="18"/>
        </w:rPr>
        <w:t>731,84</w:t>
      </w:r>
    </w:p>
    <w:p w:rsidR="003B6899" w:rsidRPr="00983D3E" w:rsidRDefault="003B6899" w:rsidP="003B6899">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sidR="00BB17D4">
        <w:rPr>
          <w:rFonts w:ascii="Verdana" w:hAnsi="Verdana"/>
          <w:sz w:val="18"/>
          <w:szCs w:val="18"/>
        </w:rPr>
        <w:t>1.027,46</w:t>
      </w:r>
    </w:p>
    <w:p w:rsidR="003B6899" w:rsidRPr="00983D3E" w:rsidRDefault="003B6899" w:rsidP="003B6899">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sidR="00BB17D4">
        <w:rPr>
          <w:rFonts w:ascii="Verdana" w:hAnsi="Verdana"/>
          <w:sz w:val="18"/>
          <w:szCs w:val="18"/>
        </w:rPr>
        <w:t>0,94</w:t>
      </w:r>
      <w:r w:rsidRPr="00983D3E">
        <w:rPr>
          <w:rFonts w:ascii="Verdana" w:hAnsi="Verdana"/>
          <w:sz w:val="18"/>
          <w:szCs w:val="18"/>
        </w:rPr>
        <w:t xml:space="preserve"> jaar</w:t>
      </w:r>
    </w:p>
    <w:p w:rsidR="003B6899" w:rsidRPr="00983D3E" w:rsidRDefault="003B6899" w:rsidP="003B6899">
      <w:pPr>
        <w:ind w:firstLine="708"/>
        <w:rPr>
          <w:rFonts w:ascii="Verdana" w:hAnsi="Verdana"/>
          <w:sz w:val="18"/>
          <w:szCs w:val="18"/>
        </w:rPr>
      </w:pPr>
    </w:p>
    <w:p w:rsidR="003B6899" w:rsidRPr="00F24F50" w:rsidRDefault="003B6899" w:rsidP="003B6899">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3B6899" w:rsidRPr="00983D3E" w:rsidRDefault="003B6899" w:rsidP="003B6899">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Pr>
          <w:rFonts w:ascii="Verdana" w:hAnsi="Verdana"/>
          <w:sz w:val="18"/>
          <w:szCs w:val="18"/>
        </w:rPr>
        <w:t>Materieel (201</w:t>
      </w:r>
      <w:r w:rsidR="00EB7F8C">
        <w:rPr>
          <w:rFonts w:ascii="Verdana" w:hAnsi="Verdana"/>
          <w:sz w:val="18"/>
          <w:szCs w:val="18"/>
        </w:rPr>
        <w:t>9</w:t>
      </w:r>
      <w:r>
        <w:rPr>
          <w:rFonts w:ascii="Verdana" w:hAnsi="Verdana"/>
          <w:sz w:val="18"/>
          <w:szCs w:val="18"/>
        </w:rPr>
        <w:t>)</w:t>
      </w:r>
      <w:r>
        <w:rPr>
          <w:rFonts w:ascii="Verdana" w:hAnsi="Verdana"/>
          <w:sz w:val="18"/>
          <w:szCs w:val="18"/>
        </w:rPr>
        <w:tab/>
        <w:t>Materieel (20</w:t>
      </w:r>
      <w:r w:rsidR="00EB7F8C">
        <w:rPr>
          <w:rFonts w:ascii="Verdana" w:hAnsi="Verdana"/>
          <w:sz w:val="18"/>
          <w:szCs w:val="18"/>
        </w:rPr>
        <w:t>20</w:t>
      </w:r>
      <w:r>
        <w:rPr>
          <w:rFonts w:ascii="Verdana" w:hAnsi="Verdana"/>
          <w:sz w:val="18"/>
          <w:szCs w:val="18"/>
        </w:rPr>
        <w:t>)</w:t>
      </w:r>
    </w:p>
    <w:p w:rsidR="003B6899" w:rsidRPr="00983D3E" w:rsidRDefault="003B6899" w:rsidP="003B6899">
      <w:pPr>
        <w:rPr>
          <w:rFonts w:ascii="Verdana" w:hAnsi="Verdana"/>
          <w:sz w:val="18"/>
          <w:szCs w:val="18"/>
        </w:rPr>
      </w:pPr>
      <w:r>
        <w:rPr>
          <w:rFonts w:ascii="Verdana" w:hAnsi="Verdana"/>
          <w:sz w:val="18"/>
          <w:szCs w:val="18"/>
        </w:rPr>
        <w:t>Bedrag basisbekostiging</w:t>
      </w:r>
      <w:r>
        <w:rPr>
          <w:rFonts w:ascii="Verdana" w:hAnsi="Verdana"/>
          <w:sz w:val="18"/>
          <w:szCs w:val="18"/>
        </w:rPr>
        <w:tab/>
      </w:r>
      <w:r>
        <w:rPr>
          <w:rFonts w:ascii="Verdana" w:hAnsi="Verdana"/>
          <w:sz w:val="18"/>
          <w:szCs w:val="18"/>
        </w:rPr>
        <w:tab/>
        <w:t>€ 3</w:t>
      </w:r>
      <w:r w:rsidRPr="00983D3E">
        <w:rPr>
          <w:rFonts w:ascii="Verdana" w:hAnsi="Verdana"/>
          <w:sz w:val="18"/>
          <w:szCs w:val="18"/>
        </w:rPr>
        <w:t>.</w:t>
      </w:r>
      <w:r w:rsidR="00EB7F8C">
        <w:rPr>
          <w:rFonts w:ascii="Verdana" w:hAnsi="Verdana"/>
          <w:sz w:val="18"/>
          <w:szCs w:val="18"/>
        </w:rPr>
        <w:t>336,-</w:t>
      </w:r>
      <w:r w:rsidRPr="00983D3E">
        <w:rPr>
          <w:rFonts w:ascii="Verdana" w:hAnsi="Verdana"/>
          <w:sz w:val="18"/>
          <w:szCs w:val="18"/>
        </w:rPr>
        <w:tab/>
        <w:t xml:space="preserve">€ </w:t>
      </w:r>
      <w:r>
        <w:rPr>
          <w:rFonts w:ascii="Verdana" w:hAnsi="Verdana"/>
          <w:sz w:val="18"/>
          <w:szCs w:val="18"/>
        </w:rPr>
        <w:t xml:space="preserve">   </w:t>
      </w:r>
      <w:r w:rsidR="00EB7F8C">
        <w:rPr>
          <w:rFonts w:ascii="Verdana" w:hAnsi="Verdana"/>
          <w:sz w:val="18"/>
          <w:szCs w:val="18"/>
        </w:rPr>
        <w:t>818</w:t>
      </w:r>
      <w:r w:rsidRPr="00983D3E">
        <w:rPr>
          <w:rFonts w:ascii="Verdana" w:hAnsi="Verdana"/>
          <w:sz w:val="18"/>
          <w:szCs w:val="18"/>
        </w:rPr>
        <w:t>,-</w:t>
      </w:r>
      <w:r>
        <w:rPr>
          <w:rFonts w:ascii="Verdana" w:hAnsi="Verdana"/>
          <w:sz w:val="18"/>
          <w:szCs w:val="18"/>
        </w:rPr>
        <w:tab/>
      </w:r>
      <w:r>
        <w:rPr>
          <w:rFonts w:ascii="Verdana" w:hAnsi="Verdana"/>
          <w:sz w:val="18"/>
          <w:szCs w:val="18"/>
        </w:rPr>
        <w:tab/>
      </w:r>
      <w:r w:rsidRPr="00EB7F8C">
        <w:rPr>
          <w:rFonts w:ascii="Verdana" w:hAnsi="Verdana"/>
          <w:sz w:val="18"/>
          <w:szCs w:val="18"/>
          <w:highlight w:val="yellow"/>
        </w:rPr>
        <w:t>€    8</w:t>
      </w:r>
      <w:r w:rsidR="00EB7F8C" w:rsidRPr="00EB7F8C">
        <w:rPr>
          <w:rFonts w:ascii="Verdana" w:hAnsi="Verdana"/>
          <w:sz w:val="18"/>
          <w:szCs w:val="18"/>
          <w:highlight w:val="yellow"/>
        </w:rPr>
        <w:t>18</w:t>
      </w:r>
      <w:r w:rsidRPr="00EB7F8C">
        <w:rPr>
          <w:rFonts w:ascii="Verdana" w:hAnsi="Verdana"/>
          <w:sz w:val="18"/>
          <w:szCs w:val="18"/>
          <w:highlight w:val="yellow"/>
        </w:rPr>
        <w:t>,-</w:t>
      </w:r>
    </w:p>
    <w:p w:rsidR="003B6899" w:rsidRPr="00983D3E" w:rsidRDefault="003B6899" w:rsidP="003B6899">
      <w:pPr>
        <w:rPr>
          <w:rFonts w:ascii="Verdana" w:hAnsi="Verdana"/>
          <w:sz w:val="18"/>
          <w:szCs w:val="18"/>
        </w:rPr>
      </w:pPr>
      <w:r w:rsidRPr="00983D3E">
        <w:rPr>
          <w:rFonts w:ascii="Verdana" w:hAnsi="Verdana"/>
          <w:sz w:val="18"/>
          <w:szCs w:val="18"/>
        </w:rPr>
        <w:t xml:space="preserve">Bedrag </w:t>
      </w:r>
      <w:r>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EB7F8C">
        <w:rPr>
          <w:rFonts w:ascii="Verdana" w:hAnsi="Verdana"/>
          <w:sz w:val="18"/>
          <w:szCs w:val="18"/>
        </w:rPr>
        <w:t>7</w:t>
      </w:r>
      <w:r>
        <w:rPr>
          <w:rFonts w:ascii="Verdana" w:hAnsi="Verdana"/>
          <w:sz w:val="18"/>
          <w:szCs w:val="18"/>
        </w:rPr>
        <w:t>6</w:t>
      </w:r>
      <w:r w:rsidR="00EB7F8C">
        <w:rPr>
          <w:rFonts w:ascii="Verdana" w:hAnsi="Verdana"/>
          <w:sz w:val="18"/>
          <w:szCs w:val="18"/>
        </w:rPr>
        <w:t>7</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 xml:space="preserve">   2</w:t>
      </w:r>
      <w:r w:rsidR="00EB7F8C">
        <w:rPr>
          <w:rFonts w:ascii="Verdana" w:hAnsi="Verdana"/>
          <w:sz w:val="18"/>
          <w:szCs w:val="18"/>
        </w:rPr>
        <w:t>33</w:t>
      </w:r>
      <w:r w:rsidRPr="00983D3E">
        <w:rPr>
          <w:rFonts w:ascii="Verdana" w:hAnsi="Verdana"/>
          <w:sz w:val="18"/>
          <w:szCs w:val="18"/>
        </w:rPr>
        <w:t>,-</w:t>
      </w:r>
      <w:r>
        <w:rPr>
          <w:rFonts w:ascii="Verdana" w:hAnsi="Verdana"/>
          <w:sz w:val="18"/>
          <w:szCs w:val="18"/>
        </w:rPr>
        <w:tab/>
      </w:r>
      <w:r>
        <w:rPr>
          <w:rFonts w:ascii="Verdana" w:hAnsi="Verdana"/>
          <w:sz w:val="18"/>
          <w:szCs w:val="18"/>
        </w:rPr>
        <w:tab/>
      </w:r>
      <w:r w:rsidRPr="00EB7F8C">
        <w:rPr>
          <w:rFonts w:ascii="Verdana" w:hAnsi="Verdana"/>
          <w:sz w:val="18"/>
          <w:szCs w:val="18"/>
          <w:highlight w:val="yellow"/>
        </w:rPr>
        <w:t>€    2</w:t>
      </w:r>
      <w:r w:rsidR="00EB7F8C" w:rsidRPr="00EB7F8C">
        <w:rPr>
          <w:rFonts w:ascii="Verdana" w:hAnsi="Verdana"/>
          <w:sz w:val="18"/>
          <w:szCs w:val="18"/>
          <w:highlight w:val="yellow"/>
        </w:rPr>
        <w:t>33</w:t>
      </w:r>
      <w:r w:rsidRPr="00EB7F8C">
        <w:rPr>
          <w:rFonts w:ascii="Verdana" w:hAnsi="Verdana"/>
          <w:sz w:val="18"/>
          <w:szCs w:val="18"/>
          <w:highlight w:val="yellow"/>
        </w:rPr>
        <w:t>,-</w:t>
      </w:r>
    </w:p>
    <w:p w:rsidR="003B6899" w:rsidRDefault="003B6899" w:rsidP="003B6899">
      <w:pPr>
        <w:rPr>
          <w:rFonts w:ascii="Verdana" w:hAnsi="Verdana"/>
          <w:sz w:val="18"/>
          <w:szCs w:val="18"/>
        </w:rPr>
      </w:pPr>
      <w:r w:rsidRPr="00983D3E">
        <w:rPr>
          <w:rFonts w:ascii="Verdana" w:hAnsi="Verdana"/>
          <w:sz w:val="18"/>
          <w:szCs w:val="18"/>
        </w:rPr>
        <w:t>Bedra</w:t>
      </w:r>
      <w:r>
        <w:rPr>
          <w:rFonts w:ascii="Verdana" w:hAnsi="Verdana"/>
          <w:sz w:val="18"/>
          <w:szCs w:val="18"/>
        </w:rPr>
        <w:t>g b</w:t>
      </w:r>
      <w:r w:rsidR="00EB7F8C">
        <w:rPr>
          <w:rFonts w:ascii="Verdana" w:hAnsi="Verdana"/>
          <w:sz w:val="18"/>
          <w:szCs w:val="18"/>
        </w:rPr>
        <w:t>asis- en zorgbekostiging</w:t>
      </w:r>
      <w:r w:rsidR="00EB7F8C">
        <w:rPr>
          <w:rFonts w:ascii="Verdana" w:hAnsi="Verdana"/>
          <w:sz w:val="18"/>
          <w:szCs w:val="18"/>
        </w:rPr>
        <w:tab/>
        <w:t>€ 8</w:t>
      </w:r>
      <w:r>
        <w:rPr>
          <w:rFonts w:ascii="Verdana" w:hAnsi="Verdana"/>
          <w:sz w:val="18"/>
          <w:szCs w:val="18"/>
        </w:rPr>
        <w:t>.</w:t>
      </w:r>
      <w:r w:rsidR="00EB7F8C">
        <w:rPr>
          <w:rFonts w:ascii="Verdana" w:hAnsi="Verdana"/>
          <w:sz w:val="18"/>
          <w:szCs w:val="18"/>
        </w:rPr>
        <w:t>103</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1</w:t>
      </w:r>
      <w:r w:rsidRPr="00983D3E">
        <w:rPr>
          <w:rFonts w:ascii="Verdana" w:hAnsi="Verdana"/>
          <w:sz w:val="18"/>
          <w:szCs w:val="18"/>
        </w:rPr>
        <w:t>.</w:t>
      </w:r>
      <w:r w:rsidR="00EB7F8C">
        <w:rPr>
          <w:rFonts w:ascii="Verdana" w:hAnsi="Verdana"/>
          <w:sz w:val="18"/>
          <w:szCs w:val="18"/>
        </w:rPr>
        <w:t>051</w:t>
      </w:r>
      <w:r w:rsidRPr="00983D3E">
        <w:rPr>
          <w:rFonts w:ascii="Verdana" w:hAnsi="Verdana"/>
          <w:sz w:val="18"/>
          <w:szCs w:val="18"/>
        </w:rPr>
        <w:t>,-</w:t>
      </w:r>
      <w:r w:rsidR="00EB7F8C">
        <w:rPr>
          <w:rFonts w:ascii="Verdana" w:hAnsi="Verdana"/>
          <w:sz w:val="18"/>
          <w:szCs w:val="18"/>
        </w:rPr>
        <w:tab/>
      </w:r>
      <w:r w:rsidR="00EB7F8C">
        <w:rPr>
          <w:rFonts w:ascii="Verdana" w:hAnsi="Verdana"/>
          <w:sz w:val="18"/>
          <w:szCs w:val="18"/>
        </w:rPr>
        <w:tab/>
      </w:r>
      <w:r w:rsidR="00EB7F8C" w:rsidRPr="00EB7F8C">
        <w:rPr>
          <w:rFonts w:ascii="Verdana" w:hAnsi="Verdana"/>
          <w:sz w:val="18"/>
          <w:szCs w:val="18"/>
          <w:highlight w:val="yellow"/>
        </w:rPr>
        <w:t>€ 1.051</w:t>
      </w:r>
      <w:r w:rsidRPr="00EB7F8C">
        <w:rPr>
          <w:rFonts w:ascii="Verdana" w:hAnsi="Verdana"/>
          <w:sz w:val="18"/>
          <w:szCs w:val="18"/>
          <w:highlight w:val="yellow"/>
        </w:rPr>
        <w:t>,-</w:t>
      </w:r>
    </w:p>
    <w:p w:rsidR="003B6899" w:rsidRDefault="003B6899" w:rsidP="003B6899">
      <w:pPr>
        <w:rPr>
          <w:rFonts w:ascii="Verdana" w:hAnsi="Verdana"/>
          <w:sz w:val="18"/>
          <w:szCs w:val="18"/>
        </w:rPr>
      </w:pPr>
    </w:p>
    <w:p w:rsidR="003B6899" w:rsidRPr="00983D3E" w:rsidRDefault="003B6899" w:rsidP="003B6899">
      <w:pPr>
        <w:rPr>
          <w:rFonts w:ascii="Verdana" w:hAnsi="Verdana"/>
          <w:sz w:val="18"/>
          <w:szCs w:val="18"/>
        </w:rPr>
      </w:pPr>
    </w:p>
    <w:p w:rsidR="003B6899" w:rsidRDefault="003B6899" w:rsidP="003B6899">
      <w:pPr>
        <w:rPr>
          <w:rFonts w:ascii="Verdana" w:hAnsi="Verdana"/>
          <w:b/>
          <w:sz w:val="20"/>
          <w:szCs w:val="20"/>
        </w:rPr>
      </w:pPr>
      <w:r>
        <w:rPr>
          <w:rFonts w:ascii="Verdana" w:hAnsi="Verdana"/>
          <w:b/>
          <w:sz w:val="20"/>
          <w:szCs w:val="20"/>
        </w:rPr>
        <w:br w:type="page"/>
      </w:r>
    </w:p>
    <w:p w:rsidR="003123ED" w:rsidRDefault="003123ED" w:rsidP="0099342B">
      <w:pPr>
        <w:rPr>
          <w:rFonts w:ascii="Verdana" w:hAnsi="Verdana"/>
          <w:b/>
          <w:sz w:val="20"/>
          <w:szCs w:val="20"/>
        </w:rPr>
        <w:sectPr w:rsidR="003123ED" w:rsidSect="00EA3302">
          <w:footerReference w:type="default" r:id="rId13"/>
          <w:pgSz w:w="11906" w:h="16838" w:code="9"/>
          <w:pgMar w:top="1418" w:right="1418" w:bottom="1418" w:left="1418" w:header="709" w:footer="709" w:gutter="0"/>
          <w:cols w:space="708"/>
          <w:docGrid w:linePitch="360"/>
        </w:sectPr>
      </w:pPr>
    </w:p>
    <w:p w:rsidR="00AD46C6" w:rsidRPr="00024773" w:rsidRDefault="00AD46C6" w:rsidP="00AD46C6">
      <w:pPr>
        <w:rPr>
          <w:rFonts w:ascii="Verdana" w:hAnsi="Verdana"/>
          <w:b/>
          <w:sz w:val="18"/>
          <w:szCs w:val="18"/>
        </w:rPr>
      </w:pPr>
      <w:r w:rsidRPr="00493F37">
        <w:rPr>
          <w:rFonts w:ascii="Verdana" w:hAnsi="Verdana"/>
          <w:b/>
          <w:sz w:val="20"/>
          <w:szCs w:val="20"/>
        </w:rPr>
        <w:lastRenderedPageBreak/>
        <w:t>Bijlage II</w:t>
      </w:r>
      <w:r w:rsidR="00801FBB">
        <w:rPr>
          <w:rFonts w:ascii="Verdana" w:hAnsi="Verdana"/>
          <w:b/>
          <w:sz w:val="20"/>
          <w:szCs w:val="20"/>
        </w:rPr>
        <w:t>A</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2018-2019</w:t>
      </w:r>
    </w:p>
    <w:p w:rsidR="00AD46C6" w:rsidRDefault="00AD46C6" w:rsidP="00AD46C6">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801FBB">
        <w:rPr>
          <w:rFonts w:ascii="Verdana" w:hAnsi="Verdana"/>
          <w:b/>
          <w:sz w:val="18"/>
          <w:szCs w:val="18"/>
        </w:rPr>
        <w:t>sept</w:t>
      </w:r>
      <w:r>
        <w:rPr>
          <w:rFonts w:ascii="Verdana" w:hAnsi="Verdana"/>
          <w:b/>
          <w:sz w:val="18"/>
          <w:szCs w:val="18"/>
        </w:rPr>
        <w:t xml:space="preserve">. 2018) en materieel  </w:t>
      </w:r>
    </w:p>
    <w:p w:rsidR="00766043" w:rsidRDefault="00766043" w:rsidP="00AD46C6">
      <w:pPr>
        <w:rPr>
          <w:noProof/>
        </w:rPr>
      </w:pPr>
    </w:p>
    <w:tbl>
      <w:tblPr>
        <w:tblW w:w="6529" w:type="dxa"/>
        <w:tblCellMar>
          <w:left w:w="70" w:type="dxa"/>
          <w:right w:w="70" w:type="dxa"/>
        </w:tblCellMar>
        <w:tblLook w:val="04A0" w:firstRow="1" w:lastRow="0" w:firstColumn="1" w:lastColumn="0" w:noHBand="0" w:noVBand="1"/>
      </w:tblPr>
      <w:tblGrid>
        <w:gridCol w:w="2405"/>
        <w:gridCol w:w="992"/>
        <w:gridCol w:w="1005"/>
        <w:gridCol w:w="993"/>
        <w:gridCol w:w="1134"/>
      </w:tblGrid>
      <w:tr w:rsidR="00801FBB" w:rsidRPr="008C5E1D" w:rsidTr="00801FBB">
        <w:trPr>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BB" w:rsidRPr="008C5E1D" w:rsidRDefault="00801FBB" w:rsidP="00AE1F91">
            <w:pPr>
              <w:rPr>
                <w:b/>
                <w:bCs/>
                <w:color w:val="000000"/>
                <w:sz w:val="20"/>
                <w:szCs w:val="20"/>
              </w:rPr>
            </w:pPr>
            <w:r w:rsidRPr="008C5E1D">
              <w:rPr>
                <w:b/>
                <w:bCs/>
                <w:color w:val="000000"/>
                <w:sz w:val="20"/>
                <w:szCs w:val="20"/>
              </w:rPr>
              <w:t>Personeel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2018/19</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1FBB" w:rsidRPr="008C5E1D" w:rsidRDefault="00801FBB" w:rsidP="00AE1F91">
            <w:pPr>
              <w:jc w:val="center"/>
              <w:rPr>
                <w:b/>
                <w:bCs/>
                <w:i/>
                <w:iCs/>
                <w:color w:val="000000"/>
                <w:sz w:val="20"/>
                <w:szCs w:val="20"/>
              </w:rPr>
            </w:pPr>
            <w:r w:rsidRPr="008C5E1D">
              <w:rPr>
                <w:b/>
                <w:bCs/>
                <w:i/>
                <w:iCs/>
                <w:color w:val="000000"/>
                <w:sz w:val="20"/>
                <w:szCs w:val="20"/>
              </w:rPr>
              <w:t>2021/22</w:t>
            </w:r>
          </w:p>
        </w:tc>
      </w:tr>
      <w:tr w:rsidR="00801FBB" w:rsidRPr="008C5E1D" w:rsidTr="00801FBB">
        <w:trPr>
          <w:trHeight w:val="2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Pr>
                <w:color w:val="000000"/>
                <w:sz w:val="20"/>
                <w:szCs w:val="20"/>
              </w:rPr>
              <w:t>N</w:t>
            </w:r>
            <w:r w:rsidRPr="008C5E1D">
              <w:rPr>
                <w:color w:val="000000"/>
                <w:sz w:val="20"/>
                <w:szCs w:val="20"/>
              </w:rPr>
              <w:t>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xml:space="preserve"> </w:t>
            </w:r>
            <w:r>
              <w:rPr>
                <w:color w:val="000000"/>
                <w:sz w:val="20"/>
                <w:szCs w:val="20"/>
              </w:rPr>
              <w:t>€ 360,42</w:t>
            </w:r>
            <w:r w:rsidRPr="008C5E1D">
              <w:rPr>
                <w:color w:val="000000"/>
                <w:sz w:val="20"/>
                <w:szCs w:val="20"/>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Pr>
                <w:color w:val="000000"/>
                <w:sz w:val="20"/>
                <w:szCs w:val="20"/>
              </w:rPr>
              <w:t>€ 360,42</w:t>
            </w:r>
          </w:p>
        </w:tc>
        <w:tc>
          <w:tcPr>
            <w:tcW w:w="993"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xml:space="preserve"> </w:t>
            </w:r>
            <w:r>
              <w:rPr>
                <w:color w:val="000000"/>
                <w:sz w:val="20"/>
                <w:szCs w:val="20"/>
              </w:rPr>
              <w:t>€ 360,42</w:t>
            </w:r>
          </w:p>
        </w:tc>
        <w:tc>
          <w:tcPr>
            <w:tcW w:w="1134"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xml:space="preserve"> </w:t>
            </w:r>
            <w:r>
              <w:rPr>
                <w:color w:val="000000"/>
                <w:sz w:val="20"/>
                <w:szCs w:val="20"/>
              </w:rPr>
              <w:t>€ 360,42</w:t>
            </w:r>
          </w:p>
        </w:tc>
      </w:tr>
      <w:tr w:rsidR="00801FBB" w:rsidRPr="008C5E1D" w:rsidTr="00801FBB">
        <w:trPr>
          <w:trHeight w:val="2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FBB" w:rsidRPr="008C5E1D" w:rsidRDefault="00801FBB" w:rsidP="00AE1F91">
            <w:pPr>
              <w:rPr>
                <w:b/>
                <w:bCs/>
                <w:color w:val="000000"/>
                <w:sz w:val="20"/>
                <w:szCs w:val="20"/>
              </w:rPr>
            </w:pPr>
            <w:r w:rsidRPr="008C5E1D">
              <w:rPr>
                <w:b/>
                <w:bCs/>
                <w:color w:val="000000"/>
                <w:sz w:val="20"/>
                <w:szCs w:val="20"/>
              </w:rPr>
              <w:t>Materieel</w:t>
            </w:r>
            <w:r>
              <w:rPr>
                <w:b/>
                <w:bCs/>
                <w:color w:val="000000"/>
                <w:sz w:val="20"/>
                <w:szCs w:val="20"/>
              </w:rPr>
              <w:t xml:space="preserve"> </w:t>
            </w:r>
            <w:r w:rsidRPr="00801FBB">
              <w:rPr>
                <w:bCs/>
                <w:color w:val="000000"/>
                <w:sz w:val="20"/>
                <w:szCs w:val="20"/>
              </w:rPr>
              <w:t>(kalenderjaar)</w:t>
            </w:r>
          </w:p>
        </w:tc>
        <w:tc>
          <w:tcPr>
            <w:tcW w:w="992"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201</w:t>
            </w:r>
            <w:r w:rsidR="0064731F">
              <w:rPr>
                <w:b/>
                <w:bCs/>
                <w:color w:val="000000"/>
                <w:sz w:val="20"/>
                <w:szCs w:val="20"/>
              </w:rPr>
              <w:t>8</w:t>
            </w:r>
          </w:p>
        </w:tc>
        <w:tc>
          <w:tcPr>
            <w:tcW w:w="1005"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w:t>
            </w:r>
            <w:r w:rsidR="0064731F">
              <w:rPr>
                <w:b/>
                <w:bCs/>
                <w:color w:val="000000"/>
                <w:sz w:val="20"/>
                <w:szCs w:val="20"/>
              </w:rPr>
              <w:t>19</w:t>
            </w:r>
          </w:p>
        </w:tc>
        <w:tc>
          <w:tcPr>
            <w:tcW w:w="993"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w:t>
            </w:r>
            <w:r w:rsidR="0064731F">
              <w:rPr>
                <w:b/>
                <w:bCs/>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jc w:val="center"/>
              <w:rPr>
                <w:b/>
                <w:bCs/>
                <w:color w:val="000000"/>
                <w:sz w:val="20"/>
                <w:szCs w:val="20"/>
              </w:rPr>
            </w:pPr>
            <w:r>
              <w:rPr>
                <w:b/>
                <w:bCs/>
                <w:color w:val="000000"/>
                <w:sz w:val="20"/>
                <w:szCs w:val="20"/>
              </w:rPr>
              <w:t>202</w:t>
            </w:r>
            <w:r w:rsidR="0064731F">
              <w:rPr>
                <w:b/>
                <w:bCs/>
                <w:color w:val="000000"/>
                <w:sz w:val="20"/>
                <w:szCs w:val="20"/>
              </w:rPr>
              <w:t>1</w:t>
            </w:r>
          </w:p>
        </w:tc>
      </w:tr>
      <w:tr w:rsidR="00801FBB" w:rsidRPr="008C5E1D" w:rsidTr="00801FBB">
        <w:trPr>
          <w:trHeight w:val="255"/>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801FBB" w:rsidRPr="00651E43" w:rsidRDefault="00801FBB" w:rsidP="00AE1F91">
            <w:pPr>
              <w:rPr>
                <w:color w:val="000000"/>
                <w:sz w:val="20"/>
                <w:szCs w:val="20"/>
              </w:rPr>
            </w:pPr>
            <w:r w:rsidRPr="00651E43">
              <w:rPr>
                <w:color w:val="000000"/>
                <w:sz w:val="20"/>
                <w:szCs w:val="20"/>
              </w:rPr>
              <w:t>Normatieve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64731F">
            <w:pPr>
              <w:rPr>
                <w:color w:val="000000"/>
                <w:sz w:val="20"/>
                <w:szCs w:val="20"/>
              </w:rPr>
            </w:pPr>
            <w:r w:rsidRPr="008C5E1D">
              <w:rPr>
                <w:color w:val="000000"/>
                <w:sz w:val="20"/>
                <w:szCs w:val="20"/>
              </w:rPr>
              <w:t> </w:t>
            </w:r>
            <w:r>
              <w:rPr>
                <w:color w:val="000000"/>
                <w:sz w:val="20"/>
                <w:szCs w:val="20"/>
              </w:rPr>
              <w:t>€ 31,</w:t>
            </w:r>
            <w:r w:rsidR="0064731F">
              <w:rPr>
                <w:color w:val="000000"/>
                <w:sz w:val="20"/>
                <w:szCs w:val="20"/>
              </w:rPr>
              <w:t>47</w:t>
            </w:r>
          </w:p>
        </w:tc>
        <w:tc>
          <w:tcPr>
            <w:tcW w:w="1005"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w:t>
            </w:r>
            <w:r>
              <w:rPr>
                <w:color w:val="000000"/>
                <w:sz w:val="20"/>
                <w:szCs w:val="20"/>
              </w:rPr>
              <w:t>€ 31,94</w:t>
            </w:r>
          </w:p>
        </w:tc>
        <w:tc>
          <w:tcPr>
            <w:tcW w:w="993"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801FBB" w:rsidRPr="008C5E1D" w:rsidRDefault="00801FBB" w:rsidP="00AE1F91">
            <w:pPr>
              <w:rPr>
                <w:color w:val="000000"/>
                <w:sz w:val="20"/>
                <w:szCs w:val="20"/>
              </w:rPr>
            </w:pPr>
            <w:r w:rsidRPr="008C5E1D">
              <w:rPr>
                <w:color w:val="000000"/>
                <w:sz w:val="20"/>
                <w:szCs w:val="20"/>
              </w:rPr>
              <w:t> </w:t>
            </w:r>
            <w:r>
              <w:rPr>
                <w:color w:val="000000"/>
                <w:sz w:val="20"/>
                <w:szCs w:val="20"/>
              </w:rPr>
              <w:t>€ 31,94</w:t>
            </w:r>
          </w:p>
        </w:tc>
      </w:tr>
    </w:tbl>
    <w:p w:rsidR="00AD46C6" w:rsidRDefault="00AD46C6" w:rsidP="00AD46C6">
      <w:pPr>
        <w:rPr>
          <w:rFonts w:ascii="Verdana" w:hAnsi="Verdana"/>
          <w:sz w:val="18"/>
          <w:szCs w:val="18"/>
        </w:rPr>
      </w:pPr>
    </w:p>
    <w:p w:rsidR="00AD46C6" w:rsidRDefault="00AD46C6" w:rsidP="00AD46C6">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8</w:t>
      </w:r>
      <w:r w:rsidRPr="00983D3E">
        <w:rPr>
          <w:rFonts w:ascii="Verdana" w:hAnsi="Verdana"/>
          <w:b/>
          <w:sz w:val="18"/>
          <w:szCs w:val="18"/>
        </w:rPr>
        <w:t>-1</w:t>
      </w:r>
      <w:r>
        <w:rPr>
          <w:rFonts w:ascii="Verdana" w:hAnsi="Verdana"/>
          <w:b/>
          <w:sz w:val="18"/>
          <w:szCs w:val="18"/>
        </w:rPr>
        <w:t>9 (</w:t>
      </w:r>
      <w:r w:rsidR="00766043">
        <w:rPr>
          <w:rFonts w:ascii="Verdana" w:hAnsi="Verdana"/>
          <w:b/>
          <w:sz w:val="18"/>
          <w:szCs w:val="18"/>
        </w:rPr>
        <w:t>sept</w:t>
      </w:r>
      <w:r>
        <w:rPr>
          <w:rFonts w:ascii="Verdana" w:hAnsi="Verdana"/>
          <w:b/>
          <w:sz w:val="18"/>
          <w:szCs w:val="18"/>
        </w:rPr>
        <w:t>. 2018)</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3C7592" w:rsidRPr="003C7592" w:rsidTr="003C7592">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color w:val="000000"/>
                <w:sz w:val="20"/>
                <w:szCs w:val="20"/>
              </w:rPr>
            </w:pPr>
            <w:r w:rsidRPr="003C7592">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proofErr w:type="spellStart"/>
            <w:r w:rsidRPr="003C7592">
              <w:rPr>
                <w:rFonts w:ascii="Calibri" w:hAnsi="Calibri" w:cs="Calibri"/>
                <w:sz w:val="20"/>
                <w:szCs w:val="20"/>
              </w:rPr>
              <w:t>cat</w:t>
            </w:r>
            <w:proofErr w:type="spellEnd"/>
            <w:r w:rsidRPr="003C7592">
              <w:rPr>
                <w:rFonts w:ascii="Calibri" w:hAnsi="Calibri" w:cs="Calibri"/>
                <w:sz w:val="20"/>
                <w:szCs w:val="20"/>
              </w:rPr>
              <w:t xml:space="preserve">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proofErr w:type="spellStart"/>
            <w:r w:rsidRPr="003C7592">
              <w:rPr>
                <w:rFonts w:ascii="Calibri" w:hAnsi="Calibri" w:cs="Calibri"/>
                <w:sz w:val="20"/>
                <w:szCs w:val="20"/>
              </w:rPr>
              <w:t>cat</w:t>
            </w:r>
            <w:proofErr w:type="spellEnd"/>
            <w:r w:rsidRPr="003C7592">
              <w:rPr>
                <w:rFonts w:ascii="Calibri" w:hAnsi="Calibri" w:cs="Calibri"/>
                <w:sz w:val="20"/>
                <w:szCs w:val="20"/>
              </w:rPr>
              <w:t xml:space="preserve">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proofErr w:type="spellStart"/>
            <w:r w:rsidRPr="003C7592">
              <w:rPr>
                <w:rFonts w:ascii="Calibri" w:hAnsi="Calibri" w:cs="Calibri"/>
                <w:sz w:val="20"/>
                <w:szCs w:val="20"/>
              </w:rPr>
              <w:t>cat</w:t>
            </w:r>
            <w:proofErr w:type="spellEnd"/>
            <w:r w:rsidRPr="003C7592">
              <w:rPr>
                <w:rFonts w:ascii="Calibri" w:hAnsi="Calibri" w:cs="Calibri"/>
                <w:sz w:val="20"/>
                <w:szCs w:val="20"/>
              </w:rPr>
              <w:t xml:space="preserve"> 3</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9.891,82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14.402,86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22.044,74 </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center"/>
              <w:rPr>
                <w:rFonts w:ascii="Calibri" w:hAnsi="Calibri" w:cs="Calibri"/>
                <w:sz w:val="20"/>
                <w:szCs w:val="20"/>
              </w:rPr>
            </w:pPr>
            <w:r w:rsidRPr="003C7592">
              <w:rPr>
                <w:rFonts w:ascii="Calibri" w:hAnsi="Calibri" w:cs="Calibri"/>
                <w:sz w:val="20"/>
                <w:szCs w:val="20"/>
              </w:rPr>
              <w:t xml:space="preserve"> €                 9.051,99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15.630,45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23.272,33 </w:t>
            </w:r>
          </w:p>
        </w:tc>
      </w:tr>
      <w:tr w:rsidR="003C7592" w:rsidRPr="003C7592" w:rsidTr="003C7592">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10.109,54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17.753,16 </w:t>
            </w:r>
          </w:p>
        </w:tc>
        <w:tc>
          <w:tcPr>
            <w:tcW w:w="156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sz w:val="20"/>
                <w:szCs w:val="20"/>
              </w:rPr>
            </w:pPr>
            <w:r w:rsidRPr="003C7592">
              <w:rPr>
                <w:rFonts w:ascii="Calibri" w:hAnsi="Calibri" w:cs="Calibri"/>
                <w:sz w:val="20"/>
                <w:szCs w:val="20"/>
              </w:rPr>
              <w:t xml:space="preserve"> €          21.998,49 </w:t>
            </w:r>
          </w:p>
        </w:tc>
      </w:tr>
    </w:tbl>
    <w:p w:rsidR="003C7592" w:rsidRDefault="003C7592" w:rsidP="00AD46C6">
      <w:pPr>
        <w:rPr>
          <w:rFonts w:ascii="Verdana" w:hAnsi="Verdana"/>
          <w:b/>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Bedragen (V)SO vanaf 1 augustus 201</w:t>
      </w:r>
      <w:r w:rsidR="00435AB4">
        <w:rPr>
          <w:rFonts w:ascii="Verdana" w:hAnsi="Verdana"/>
          <w:b/>
          <w:sz w:val="18"/>
          <w:szCs w:val="18"/>
        </w:rPr>
        <w:t>8</w:t>
      </w:r>
      <w:r w:rsidRPr="00983D3E">
        <w:rPr>
          <w:rFonts w:ascii="Verdana" w:hAnsi="Verdana"/>
          <w:b/>
          <w:sz w:val="18"/>
          <w:szCs w:val="18"/>
        </w:rPr>
        <w:t xml:space="preserve"> o.b.v. prijzen 201</w:t>
      </w:r>
      <w:r w:rsidR="00435AB4">
        <w:rPr>
          <w:rFonts w:ascii="Verdana" w:hAnsi="Verdana"/>
          <w:b/>
          <w:sz w:val="18"/>
          <w:szCs w:val="18"/>
        </w:rPr>
        <w:t>8</w:t>
      </w:r>
      <w:r w:rsidRPr="00983D3E">
        <w:rPr>
          <w:rFonts w:ascii="Verdana" w:hAnsi="Verdana"/>
          <w:b/>
          <w:sz w:val="18"/>
          <w:szCs w:val="18"/>
        </w:rPr>
        <w:t>-201</w:t>
      </w:r>
      <w:r w:rsidR="00435AB4">
        <w:rPr>
          <w:rFonts w:ascii="Verdana" w:hAnsi="Verdana"/>
          <w:b/>
          <w:sz w:val="18"/>
          <w:szCs w:val="18"/>
        </w:rPr>
        <w:t>9</w:t>
      </w:r>
      <w:r w:rsidRPr="00983D3E">
        <w:rPr>
          <w:rFonts w:ascii="Verdana" w:hAnsi="Verdana"/>
          <w:b/>
          <w:sz w:val="18"/>
          <w:szCs w:val="18"/>
        </w:rPr>
        <w:t xml:space="preserve"> (</w:t>
      </w:r>
      <w:r w:rsidR="003C7592">
        <w:rPr>
          <w:rFonts w:ascii="Verdana" w:hAnsi="Verdana"/>
          <w:b/>
          <w:sz w:val="18"/>
          <w:szCs w:val="18"/>
        </w:rPr>
        <w:t>sept</w:t>
      </w:r>
      <w:r>
        <w:rPr>
          <w:rFonts w:ascii="Verdana" w:hAnsi="Verdana"/>
          <w:b/>
          <w:sz w:val="18"/>
          <w:szCs w:val="18"/>
        </w:rPr>
        <w:t>. 201</w:t>
      </w:r>
      <w:r w:rsidR="00435AB4">
        <w:rPr>
          <w:rFonts w:ascii="Verdana" w:hAnsi="Verdana"/>
          <w:b/>
          <w:sz w:val="18"/>
          <w:szCs w:val="18"/>
        </w:rPr>
        <w:t>8</w:t>
      </w:r>
      <w:r w:rsidRPr="00983D3E">
        <w:rPr>
          <w:rFonts w:ascii="Verdana" w:hAnsi="Verdana"/>
          <w:b/>
          <w:sz w:val="18"/>
          <w:szCs w:val="18"/>
        </w:rPr>
        <w:t>)</w:t>
      </w:r>
    </w:p>
    <w:p w:rsidR="00AD46C6" w:rsidRDefault="00AD46C6" w:rsidP="00AD46C6">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sidR="003C7592">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3C7592" w:rsidRPr="003C7592" w:rsidTr="003C7592">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Vast per school ex</w:t>
            </w:r>
            <w:r w:rsidR="00801FBB">
              <w:rPr>
                <w:rFonts w:ascii="Calibri" w:hAnsi="Calibri" w:cs="Calibri"/>
                <w:color w:val="000000"/>
                <w:sz w:val="20"/>
                <w:szCs w:val="20"/>
              </w:rPr>
              <w:t>c</w:t>
            </w:r>
            <w:r w:rsidRPr="003C7592">
              <w:rPr>
                <w:rFonts w:ascii="Calibri" w:hAnsi="Calibri" w:cs="Calibri"/>
                <w:color w:val="000000"/>
                <w:sz w:val="20"/>
                <w:szCs w:val="20"/>
              </w:rPr>
              <w:t>lusief directie</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€ 29.125,82 </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€ 1.319,36 </w:t>
            </w:r>
          </w:p>
        </w:tc>
        <w:tc>
          <w:tcPr>
            <w:tcW w:w="1780" w:type="dxa"/>
            <w:tcBorders>
              <w:top w:val="single" w:sz="4" w:space="0" w:color="auto"/>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€ 83.747,26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€ 1.402,43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€ 63,53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€ 4.032,49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€ 975,49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€ 44,19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€ 2.804,90 </w:t>
            </w:r>
          </w:p>
        </w:tc>
      </w:tr>
      <w:tr w:rsidR="003C7592" w:rsidRPr="003C7592" w:rsidTr="003C7592">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r w:rsidRPr="003C7592">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€ 1.898,86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€ 86,02 </w:t>
            </w:r>
          </w:p>
        </w:tc>
        <w:tc>
          <w:tcPr>
            <w:tcW w:w="1780" w:type="dxa"/>
            <w:tcBorders>
              <w:top w:val="nil"/>
              <w:left w:val="nil"/>
              <w:bottom w:val="nil"/>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€ 5.459,92 </w:t>
            </w:r>
          </w:p>
        </w:tc>
      </w:tr>
      <w:tr w:rsidR="003C7592" w:rsidRPr="003C7592" w:rsidTr="003C7592">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7592" w:rsidRPr="003C7592" w:rsidRDefault="003C7592" w:rsidP="003C7592">
            <w:pPr>
              <w:rPr>
                <w:rFonts w:ascii="Calibri" w:hAnsi="Calibri" w:cs="Calibri"/>
                <w:color w:val="000000"/>
                <w:sz w:val="20"/>
                <w:szCs w:val="20"/>
              </w:rPr>
            </w:pPr>
            <w:proofErr w:type="spellStart"/>
            <w:r w:rsidRPr="003C7592">
              <w:rPr>
                <w:rFonts w:ascii="Calibri" w:hAnsi="Calibri" w:cs="Calibri"/>
                <w:color w:val="000000"/>
                <w:sz w:val="20"/>
                <w:szCs w:val="20"/>
              </w:rPr>
              <w:t>cumi-leerling</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€ 955,64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€ 43,29 </w:t>
            </w:r>
          </w:p>
        </w:tc>
        <w:tc>
          <w:tcPr>
            <w:tcW w:w="1780" w:type="dxa"/>
            <w:tcBorders>
              <w:top w:val="nil"/>
              <w:left w:val="nil"/>
              <w:bottom w:val="single" w:sz="4" w:space="0" w:color="auto"/>
              <w:right w:val="single" w:sz="4" w:space="0" w:color="auto"/>
            </w:tcBorders>
            <w:shd w:val="clear" w:color="auto" w:fill="auto"/>
            <w:noWrap/>
            <w:vAlign w:val="bottom"/>
            <w:hideMark/>
          </w:tcPr>
          <w:p w:rsidR="003C7592" w:rsidRPr="003C7592" w:rsidRDefault="003C7592" w:rsidP="003C7592">
            <w:pPr>
              <w:jc w:val="right"/>
              <w:rPr>
                <w:rFonts w:ascii="Calibri" w:hAnsi="Calibri" w:cs="Calibri"/>
                <w:color w:val="000000"/>
                <w:sz w:val="20"/>
                <w:szCs w:val="20"/>
              </w:rPr>
            </w:pPr>
            <w:r w:rsidRPr="003C7592">
              <w:rPr>
                <w:rFonts w:ascii="Calibri" w:hAnsi="Calibri" w:cs="Calibri"/>
                <w:color w:val="000000"/>
                <w:sz w:val="20"/>
                <w:szCs w:val="20"/>
              </w:rPr>
              <w:t xml:space="preserve">€ 2.747,80 </w:t>
            </w:r>
          </w:p>
        </w:tc>
      </w:tr>
    </w:tbl>
    <w:p w:rsidR="00AD46C6" w:rsidRPr="0023169C" w:rsidRDefault="00AD46C6" w:rsidP="00AD46C6">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435AB4">
        <w:rPr>
          <w:rFonts w:ascii="Verdana" w:hAnsi="Verdana"/>
          <w:sz w:val="18"/>
          <w:szCs w:val="18"/>
        </w:rPr>
        <w:t>6</w:t>
      </w:r>
      <w:r w:rsidR="003C7592">
        <w:rPr>
          <w:rFonts w:ascii="Verdana" w:hAnsi="Verdana"/>
          <w:sz w:val="18"/>
          <w:szCs w:val="18"/>
        </w:rPr>
        <w:t>63,05</w:t>
      </w:r>
    </w:p>
    <w:p w:rsidR="00AD46C6" w:rsidRPr="0023169C" w:rsidRDefault="00AD46C6" w:rsidP="00AD46C6">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3C7592">
        <w:rPr>
          <w:rFonts w:ascii="Verdana" w:hAnsi="Verdana"/>
          <w:sz w:val="18"/>
          <w:szCs w:val="18"/>
        </w:rPr>
        <w:t>4</w:t>
      </w:r>
      <w:r w:rsidR="00435AB4">
        <w:rPr>
          <w:rFonts w:ascii="Verdana" w:hAnsi="Verdana"/>
          <w:sz w:val="18"/>
          <w:szCs w:val="18"/>
        </w:rPr>
        <w:t>8,2</w:t>
      </w:r>
      <w:r w:rsidR="003C7592">
        <w:rPr>
          <w:rFonts w:ascii="Verdana" w:hAnsi="Verdana"/>
          <w:sz w:val="18"/>
          <w:szCs w:val="18"/>
        </w:rPr>
        <w:t>0</w:t>
      </w:r>
    </w:p>
    <w:p w:rsidR="00AD46C6" w:rsidRDefault="00AD46C6" w:rsidP="00AD46C6">
      <w:pPr>
        <w:rPr>
          <w:rFonts w:ascii="Verdana" w:hAnsi="Verdana"/>
          <w:sz w:val="18"/>
          <w:szCs w:val="18"/>
        </w:rPr>
      </w:pPr>
    </w:p>
    <w:p w:rsidR="00AD46C6" w:rsidRPr="003C7592" w:rsidRDefault="00AD46C6" w:rsidP="00AD46C6">
      <w:pPr>
        <w:rPr>
          <w:rFonts w:ascii="Verdana" w:hAnsi="Verdana"/>
          <w:b/>
          <w:sz w:val="18"/>
          <w:szCs w:val="18"/>
        </w:rPr>
      </w:pPr>
      <w:r w:rsidRPr="003C7592">
        <w:rPr>
          <w:rFonts w:ascii="Verdana" w:hAnsi="Verdana"/>
          <w:b/>
          <w:sz w:val="18"/>
          <w:szCs w:val="18"/>
        </w:rPr>
        <w:t>Directietoeslagen</w:t>
      </w:r>
    </w:p>
    <w:p w:rsidR="003C7592" w:rsidRDefault="003C7592" w:rsidP="00AD46C6">
      <w:pPr>
        <w:rPr>
          <w:rFonts w:ascii="Verdana" w:hAnsi="Verdana"/>
          <w:sz w:val="18"/>
          <w:szCs w:val="18"/>
        </w:rPr>
      </w:pPr>
      <w:r w:rsidRPr="003C7592">
        <w:rPr>
          <w:noProof/>
        </w:rPr>
        <w:drawing>
          <wp:inline distT="0" distB="0" distL="0" distR="0">
            <wp:extent cx="5759450" cy="429686"/>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29686"/>
                    </a:xfrm>
                    <a:prstGeom prst="rect">
                      <a:avLst/>
                    </a:prstGeom>
                    <a:noFill/>
                    <a:ln>
                      <a:noFill/>
                    </a:ln>
                  </pic:spPr>
                </pic:pic>
              </a:graphicData>
            </a:graphic>
          </wp:inline>
        </w:drawing>
      </w:r>
    </w:p>
    <w:p w:rsidR="003C7592" w:rsidRDefault="003C7592" w:rsidP="00AD46C6">
      <w:pPr>
        <w:rPr>
          <w:rFonts w:ascii="Verdana" w:hAnsi="Verdana"/>
          <w:sz w:val="18"/>
          <w:szCs w:val="18"/>
        </w:rPr>
      </w:pPr>
    </w:p>
    <w:p w:rsidR="00AD46C6" w:rsidRPr="00983D3E" w:rsidRDefault="00AD46C6" w:rsidP="00AD46C6">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8</w:t>
      </w:r>
      <w:r w:rsidRPr="00983D3E">
        <w:rPr>
          <w:rFonts w:ascii="Verdana" w:hAnsi="Verdana"/>
          <w:b/>
          <w:sz w:val="18"/>
          <w:szCs w:val="18"/>
        </w:rPr>
        <w:t xml:space="preserve"> </w:t>
      </w:r>
    </w:p>
    <w:p w:rsidR="00AD46C6" w:rsidRDefault="00AD46C6" w:rsidP="00AD46C6">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AD46C6" w:rsidRPr="005C2F9A" w:rsidRDefault="00AD46C6" w:rsidP="00AD46C6">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€ 14.434,22</w:t>
      </w:r>
    </w:p>
    <w:p w:rsidR="00AD46C6" w:rsidRPr="005C2F9A" w:rsidRDefault="00AD46C6" w:rsidP="00AD46C6">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AD46C6" w:rsidRPr="005C2F9A" w:rsidRDefault="00AD46C6" w:rsidP="00AD46C6">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AD46C6" w:rsidRPr="005C2F9A" w:rsidRDefault="00AD46C6" w:rsidP="00AD46C6">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AD46C6" w:rsidRPr="005C2F9A" w:rsidRDefault="00AD46C6" w:rsidP="00AD46C6">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AD46C6" w:rsidRPr="005C2F9A" w:rsidRDefault="00AD46C6" w:rsidP="00AD46C6">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AD46C6" w:rsidRDefault="00AD46C6" w:rsidP="00AD46C6">
      <w:pPr>
        <w:rPr>
          <w:rFonts w:ascii="Verdana" w:hAnsi="Verdana"/>
          <w:sz w:val="18"/>
          <w:szCs w:val="18"/>
        </w:rPr>
      </w:pPr>
    </w:p>
    <w:p w:rsidR="00AD46C6" w:rsidRPr="00EB4110" w:rsidRDefault="00AD46C6" w:rsidP="00AD46C6">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AD46C6" w:rsidRPr="00B36823" w:rsidRDefault="00AD46C6" w:rsidP="00AD46C6">
      <w:pPr>
        <w:rPr>
          <w:rFonts w:ascii="Verdana" w:hAnsi="Verdana"/>
          <w:sz w:val="18"/>
          <w:szCs w:val="18"/>
        </w:rPr>
      </w:pPr>
      <w:r w:rsidRPr="00ED6C1E">
        <w:rPr>
          <w:noProof/>
        </w:rPr>
        <w:drawing>
          <wp:inline distT="0" distB="0" distL="0" distR="0" wp14:anchorId="7D8655A1" wp14:editId="258FF8A0">
            <wp:extent cx="5759450" cy="63280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32806"/>
                    </a:xfrm>
                    <a:prstGeom prst="rect">
                      <a:avLst/>
                    </a:prstGeom>
                    <a:noFill/>
                    <a:ln>
                      <a:noFill/>
                    </a:ln>
                  </pic:spPr>
                </pic:pic>
              </a:graphicData>
            </a:graphic>
          </wp:inline>
        </w:drawing>
      </w:r>
    </w:p>
    <w:p w:rsidR="00BB749C" w:rsidRDefault="00BB749C" w:rsidP="00ED6C1E">
      <w:pPr>
        <w:rPr>
          <w:rFonts w:ascii="Verdana" w:hAnsi="Verdana"/>
          <w:sz w:val="18"/>
          <w:szCs w:val="18"/>
        </w:rPr>
      </w:pPr>
    </w:p>
    <w:p w:rsidR="003C7592" w:rsidRPr="00983D3E" w:rsidRDefault="003C7592" w:rsidP="003C7592">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Pr>
          <w:rFonts w:ascii="Verdana" w:hAnsi="Verdana"/>
          <w:b/>
          <w:sz w:val="18"/>
          <w:szCs w:val="18"/>
        </w:rPr>
        <w:t>9</w:t>
      </w:r>
      <w:r w:rsidRPr="00983D3E">
        <w:rPr>
          <w:rFonts w:ascii="Verdana" w:hAnsi="Verdana"/>
          <w:b/>
          <w:sz w:val="18"/>
          <w:szCs w:val="18"/>
        </w:rPr>
        <w:t xml:space="preserve"> </w:t>
      </w:r>
    </w:p>
    <w:p w:rsidR="003C7592" w:rsidRDefault="003C7592" w:rsidP="003C7592">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4F5FA5">
        <w:rPr>
          <w:rFonts w:ascii="Verdana" w:hAnsi="Verdana"/>
          <w:sz w:val="18"/>
          <w:szCs w:val="18"/>
        </w:rPr>
        <w:tab/>
        <w:t xml:space="preserve">    </w:t>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4F5FA5">
        <w:rPr>
          <w:rFonts w:ascii="Verdana" w:hAnsi="Verdana"/>
          <w:sz w:val="18"/>
          <w:szCs w:val="18"/>
        </w:rPr>
        <w:tab/>
      </w:r>
      <w:r w:rsidR="004F5FA5">
        <w:rPr>
          <w:rFonts w:ascii="Verdana" w:hAnsi="Verdana"/>
          <w:sz w:val="18"/>
          <w:szCs w:val="18"/>
        </w:rPr>
        <w:tab/>
        <w:t>Totaal SOVSO</w:t>
      </w:r>
    </w:p>
    <w:p w:rsidR="003C7592" w:rsidRDefault="003C7592" w:rsidP="003C7592">
      <w:pPr>
        <w:rPr>
          <w:rFonts w:ascii="Verdana" w:hAnsi="Verdana"/>
          <w:sz w:val="18"/>
          <w:szCs w:val="18"/>
        </w:rPr>
      </w:pPr>
      <w:r w:rsidRPr="003C7592">
        <w:rPr>
          <w:noProof/>
        </w:rPr>
        <w:drawing>
          <wp:inline distT="0" distB="0" distL="0" distR="0">
            <wp:extent cx="5759450" cy="914058"/>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914058"/>
                    </a:xfrm>
                    <a:prstGeom prst="rect">
                      <a:avLst/>
                    </a:prstGeom>
                    <a:noFill/>
                    <a:ln>
                      <a:noFill/>
                    </a:ln>
                  </pic:spPr>
                </pic:pic>
              </a:graphicData>
            </a:graphic>
          </wp:inline>
        </w:drawing>
      </w:r>
    </w:p>
    <w:p w:rsidR="003C7592" w:rsidRDefault="003C7592" w:rsidP="003C7592">
      <w:pPr>
        <w:rPr>
          <w:rFonts w:ascii="Verdana" w:hAnsi="Verdana"/>
          <w:sz w:val="18"/>
          <w:szCs w:val="18"/>
        </w:rPr>
      </w:pPr>
    </w:p>
    <w:p w:rsidR="003C7592" w:rsidRDefault="004F5FA5" w:rsidP="003C7592">
      <w:pPr>
        <w:rPr>
          <w:rFonts w:ascii="Verdana" w:hAnsi="Verdana"/>
          <w:b/>
          <w:sz w:val="18"/>
          <w:szCs w:val="18"/>
        </w:rPr>
      </w:pPr>
      <w:r>
        <w:rPr>
          <w:rFonts w:ascii="Verdana" w:hAnsi="Verdana"/>
          <w:b/>
          <w:sz w:val="18"/>
          <w:szCs w:val="18"/>
        </w:rPr>
        <w:t>SWV</w:t>
      </w:r>
      <w:r>
        <w:rPr>
          <w:rFonts w:ascii="Verdana" w:hAnsi="Verdana"/>
          <w:b/>
          <w:sz w:val="18"/>
          <w:szCs w:val="18"/>
        </w:rPr>
        <w:tab/>
      </w:r>
      <w:r>
        <w:rPr>
          <w:rFonts w:ascii="Verdana" w:hAnsi="Verdana"/>
          <w:b/>
          <w:sz w:val="18"/>
          <w:szCs w:val="18"/>
        </w:rPr>
        <w:tab/>
      </w:r>
      <w:r w:rsidR="003C7592">
        <w:rPr>
          <w:rFonts w:ascii="Verdana" w:hAnsi="Verdana"/>
          <w:b/>
          <w:sz w:val="18"/>
          <w:szCs w:val="18"/>
        </w:rPr>
        <w:t xml:space="preserve">   </w:t>
      </w:r>
      <w:r>
        <w:rPr>
          <w:rFonts w:ascii="Verdana" w:hAnsi="Verdana"/>
          <w:b/>
          <w:sz w:val="18"/>
          <w:szCs w:val="18"/>
        </w:rPr>
        <w:t xml:space="preserve"> </w:t>
      </w:r>
      <w:r w:rsidR="003C7592">
        <w:rPr>
          <w:rFonts w:ascii="Verdana" w:hAnsi="Verdana"/>
          <w:b/>
          <w:sz w:val="18"/>
          <w:szCs w:val="18"/>
        </w:rPr>
        <w:t xml:space="preserve">  </w:t>
      </w:r>
      <w:r w:rsidR="003C7592" w:rsidRPr="00EB4110">
        <w:rPr>
          <w:rFonts w:ascii="Verdana" w:hAnsi="Verdana"/>
          <w:b/>
          <w:sz w:val="18"/>
          <w:szCs w:val="18"/>
        </w:rPr>
        <w:t>Basisbekostiging</w:t>
      </w:r>
      <w:r w:rsidR="003C7592" w:rsidRPr="00EB4110">
        <w:rPr>
          <w:rFonts w:ascii="Verdana" w:hAnsi="Verdana"/>
          <w:b/>
          <w:sz w:val="18"/>
          <w:szCs w:val="18"/>
        </w:rPr>
        <w:tab/>
      </w:r>
      <w:r w:rsidR="003C7592">
        <w:rPr>
          <w:rFonts w:ascii="Verdana" w:hAnsi="Verdana"/>
          <w:b/>
          <w:sz w:val="18"/>
          <w:szCs w:val="18"/>
        </w:rPr>
        <w:t xml:space="preserve">   </w:t>
      </w:r>
      <w:r>
        <w:rPr>
          <w:rFonts w:ascii="Verdana" w:hAnsi="Verdana"/>
          <w:b/>
          <w:sz w:val="18"/>
          <w:szCs w:val="18"/>
        </w:rPr>
        <w:t xml:space="preserve">      </w:t>
      </w:r>
      <w:r w:rsidR="003C7592" w:rsidRPr="00EB4110">
        <w:rPr>
          <w:rFonts w:ascii="Verdana" w:hAnsi="Verdana"/>
          <w:b/>
          <w:sz w:val="18"/>
          <w:szCs w:val="18"/>
        </w:rPr>
        <w:t>Ondersteuningsbekostiging</w:t>
      </w:r>
    </w:p>
    <w:p w:rsidR="003C7592" w:rsidRDefault="004F5FA5" w:rsidP="00ED6C1E">
      <w:pPr>
        <w:rPr>
          <w:rFonts w:ascii="Verdana" w:hAnsi="Verdana"/>
          <w:b/>
          <w:sz w:val="18"/>
          <w:szCs w:val="18"/>
        </w:rPr>
      </w:pPr>
      <w:r w:rsidRPr="004F5FA5">
        <w:rPr>
          <w:noProof/>
        </w:rPr>
        <w:drawing>
          <wp:inline distT="0" distB="0" distL="0" distR="0">
            <wp:extent cx="5724525" cy="6572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657225"/>
                    </a:xfrm>
                    <a:prstGeom prst="rect">
                      <a:avLst/>
                    </a:prstGeom>
                    <a:noFill/>
                    <a:ln>
                      <a:noFill/>
                    </a:ln>
                  </pic:spPr>
                </pic:pic>
              </a:graphicData>
            </a:graphic>
          </wp:inline>
        </w:drawing>
      </w:r>
    </w:p>
    <w:p w:rsidR="00801FBB" w:rsidRPr="00024773" w:rsidRDefault="00801FBB" w:rsidP="00801FBB">
      <w:pPr>
        <w:rPr>
          <w:rFonts w:ascii="Verdana" w:hAnsi="Verdana"/>
          <w:b/>
          <w:sz w:val="18"/>
          <w:szCs w:val="18"/>
        </w:rPr>
      </w:pPr>
      <w:r w:rsidRPr="00493F37">
        <w:rPr>
          <w:rFonts w:ascii="Verdana" w:hAnsi="Verdana"/>
          <w:b/>
          <w:sz w:val="20"/>
          <w:szCs w:val="20"/>
        </w:rPr>
        <w:lastRenderedPageBreak/>
        <w:t>Bijlage II</w:t>
      </w:r>
      <w:r w:rsidR="0064731F">
        <w:rPr>
          <w:rFonts w:ascii="Verdana" w:hAnsi="Verdana"/>
          <w:b/>
          <w:sz w:val="20"/>
          <w:szCs w:val="20"/>
        </w:rPr>
        <w:t>B</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w:t>
      </w:r>
      <w:r w:rsidR="0064731F">
        <w:rPr>
          <w:rFonts w:ascii="Verdana" w:hAnsi="Verdana"/>
          <w:b/>
          <w:sz w:val="20"/>
          <w:szCs w:val="20"/>
        </w:rPr>
        <w:t>9</w:t>
      </w:r>
      <w:r>
        <w:rPr>
          <w:rFonts w:ascii="Verdana" w:hAnsi="Verdana"/>
          <w:b/>
          <w:sz w:val="20"/>
          <w:szCs w:val="20"/>
        </w:rPr>
        <w:t>-20</w:t>
      </w:r>
      <w:r w:rsidR="0064731F">
        <w:rPr>
          <w:rFonts w:ascii="Verdana" w:hAnsi="Verdana"/>
          <w:b/>
          <w:sz w:val="20"/>
          <w:szCs w:val="20"/>
        </w:rPr>
        <w:t>20</w:t>
      </w:r>
    </w:p>
    <w:p w:rsidR="00801FBB" w:rsidRDefault="00801FBB" w:rsidP="00801FBB">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64731F">
        <w:rPr>
          <w:rFonts w:ascii="Verdana" w:hAnsi="Verdana"/>
          <w:b/>
          <w:sz w:val="18"/>
          <w:szCs w:val="18"/>
        </w:rPr>
        <w:t>apr</w:t>
      </w:r>
      <w:r>
        <w:rPr>
          <w:rFonts w:ascii="Verdana" w:hAnsi="Verdana"/>
          <w:b/>
          <w:sz w:val="18"/>
          <w:szCs w:val="18"/>
        </w:rPr>
        <w:t>. 201</w:t>
      </w:r>
      <w:r w:rsidR="0064731F">
        <w:rPr>
          <w:rFonts w:ascii="Verdana" w:hAnsi="Verdana"/>
          <w:b/>
          <w:sz w:val="18"/>
          <w:szCs w:val="18"/>
        </w:rPr>
        <w:t>9</w:t>
      </w:r>
      <w:r>
        <w:rPr>
          <w:rFonts w:ascii="Verdana" w:hAnsi="Verdana"/>
          <w:b/>
          <w:sz w:val="18"/>
          <w:szCs w:val="18"/>
        </w:rPr>
        <w:t xml:space="preserve">) en materieel  </w:t>
      </w:r>
    </w:p>
    <w:p w:rsidR="00801FBB" w:rsidRDefault="00801FBB" w:rsidP="00801FBB">
      <w:pPr>
        <w:rPr>
          <w:rFonts w:ascii="Verdana" w:hAnsi="Verdana"/>
          <w:sz w:val="18"/>
          <w:szCs w:val="18"/>
        </w:rPr>
      </w:pPr>
    </w:p>
    <w:tbl>
      <w:tblPr>
        <w:tblW w:w="6516" w:type="dxa"/>
        <w:tblCellMar>
          <w:left w:w="70" w:type="dxa"/>
          <w:right w:w="70" w:type="dxa"/>
        </w:tblCellMar>
        <w:tblLook w:val="04A0" w:firstRow="1" w:lastRow="0" w:firstColumn="1" w:lastColumn="0" w:noHBand="0" w:noVBand="1"/>
      </w:tblPr>
      <w:tblGrid>
        <w:gridCol w:w="2263"/>
        <w:gridCol w:w="992"/>
        <w:gridCol w:w="1134"/>
        <w:gridCol w:w="993"/>
        <w:gridCol w:w="1134"/>
      </w:tblGrid>
      <w:tr w:rsidR="0064731F" w:rsidRPr="008C5E1D" w:rsidTr="0064731F">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31F" w:rsidRPr="008C5E1D" w:rsidRDefault="0064731F" w:rsidP="00801FBB">
            <w:pPr>
              <w:rPr>
                <w:b/>
                <w:bCs/>
                <w:color w:val="000000"/>
                <w:sz w:val="20"/>
                <w:szCs w:val="20"/>
              </w:rPr>
            </w:pPr>
            <w:r w:rsidRPr="008C5E1D">
              <w:rPr>
                <w:b/>
                <w:bCs/>
                <w:color w:val="000000"/>
                <w:sz w:val="20"/>
                <w:szCs w:val="20"/>
              </w:rPr>
              <w:t>Personeel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4731F" w:rsidRPr="008C5E1D" w:rsidRDefault="0064731F" w:rsidP="00801FBB">
            <w:pPr>
              <w:jc w:val="center"/>
              <w:rPr>
                <w:b/>
                <w:bCs/>
                <w:i/>
                <w:iCs/>
                <w:color w:val="000000"/>
                <w:sz w:val="20"/>
                <w:szCs w:val="20"/>
              </w:rPr>
            </w:pPr>
            <w:r w:rsidRPr="008C5E1D">
              <w:rPr>
                <w:b/>
                <w:bCs/>
                <w:i/>
                <w:iCs/>
                <w:color w:val="000000"/>
                <w:sz w:val="20"/>
                <w:szCs w:val="20"/>
              </w:rPr>
              <w:t>2021/22</w:t>
            </w:r>
          </w:p>
        </w:tc>
      </w:tr>
      <w:tr w:rsidR="0064731F" w:rsidRPr="008C5E1D" w:rsidTr="0064731F">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Pr>
                <w:color w:val="000000"/>
                <w:sz w:val="20"/>
                <w:szCs w:val="20"/>
              </w:rPr>
              <w:t>N</w:t>
            </w:r>
            <w:r w:rsidRPr="008C5E1D">
              <w:rPr>
                <w:color w:val="000000"/>
                <w:sz w:val="20"/>
                <w:szCs w:val="20"/>
              </w:rPr>
              <w:t>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xml:space="preserve"> </w:t>
            </w:r>
            <w:r>
              <w:rPr>
                <w:color w:val="000000"/>
                <w:sz w:val="20"/>
                <w:szCs w:val="20"/>
              </w:rPr>
              <w:t>€ 360,42</w:t>
            </w:r>
            <w:r w:rsidRPr="008C5E1D">
              <w:rPr>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Pr>
                <w:color w:val="000000"/>
                <w:sz w:val="20"/>
                <w:szCs w:val="20"/>
              </w:rPr>
              <w:t>€ 360,42</w:t>
            </w:r>
          </w:p>
        </w:tc>
        <w:tc>
          <w:tcPr>
            <w:tcW w:w="993"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xml:space="preserve"> </w:t>
            </w:r>
            <w:r>
              <w:rPr>
                <w:color w:val="000000"/>
                <w:sz w:val="20"/>
                <w:szCs w:val="20"/>
              </w:rPr>
              <w:t>€ 360,42</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xml:space="preserve"> </w:t>
            </w:r>
            <w:r>
              <w:rPr>
                <w:color w:val="000000"/>
                <w:sz w:val="20"/>
                <w:szCs w:val="20"/>
              </w:rPr>
              <w:t>€ 360,42</w:t>
            </w:r>
          </w:p>
        </w:tc>
      </w:tr>
      <w:tr w:rsidR="0064731F" w:rsidRPr="008C5E1D" w:rsidTr="0064731F">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4731F" w:rsidRPr="008C5E1D" w:rsidRDefault="0064731F" w:rsidP="00801FBB">
            <w:pPr>
              <w:rPr>
                <w:b/>
                <w:bCs/>
                <w:color w:val="000000"/>
                <w:sz w:val="20"/>
                <w:szCs w:val="20"/>
              </w:rPr>
            </w:pPr>
            <w:r w:rsidRPr="008C5E1D">
              <w:rPr>
                <w:b/>
                <w:bCs/>
                <w:color w:val="000000"/>
                <w:sz w:val="20"/>
                <w:szCs w:val="20"/>
              </w:rPr>
              <w:t>Materieel</w:t>
            </w:r>
          </w:p>
        </w:tc>
        <w:tc>
          <w:tcPr>
            <w:tcW w:w="992"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2020</w:t>
            </w:r>
          </w:p>
        </w:tc>
        <w:tc>
          <w:tcPr>
            <w:tcW w:w="993"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2021</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64731F">
            <w:pPr>
              <w:jc w:val="center"/>
              <w:rPr>
                <w:b/>
                <w:bCs/>
                <w:color w:val="000000"/>
                <w:sz w:val="20"/>
                <w:szCs w:val="20"/>
              </w:rPr>
            </w:pPr>
            <w:r>
              <w:rPr>
                <w:b/>
                <w:bCs/>
                <w:color w:val="000000"/>
                <w:sz w:val="20"/>
                <w:szCs w:val="20"/>
              </w:rPr>
              <w:t>2022</w:t>
            </w:r>
          </w:p>
        </w:tc>
      </w:tr>
      <w:tr w:rsidR="0064731F" w:rsidRPr="008C5E1D" w:rsidTr="0064731F">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4731F" w:rsidRPr="00651E43" w:rsidRDefault="0064731F" w:rsidP="00801FBB">
            <w:pPr>
              <w:rPr>
                <w:color w:val="000000"/>
                <w:sz w:val="20"/>
                <w:szCs w:val="20"/>
              </w:rPr>
            </w:pPr>
            <w:r w:rsidRPr="00651E43">
              <w:rPr>
                <w:color w:val="000000"/>
                <w:sz w:val="20"/>
                <w:szCs w:val="20"/>
              </w:rPr>
              <w:t>Normatieve bekostiging</w:t>
            </w:r>
          </w:p>
        </w:tc>
        <w:tc>
          <w:tcPr>
            <w:tcW w:w="992"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sidRPr="008C5E1D">
              <w:rPr>
                <w:color w:val="000000"/>
                <w:sz w:val="20"/>
                <w:szCs w:val="20"/>
              </w:rPr>
              <w:t> </w:t>
            </w:r>
            <w:r>
              <w:rPr>
                <w:color w:val="000000"/>
                <w:sz w:val="20"/>
                <w:szCs w:val="20"/>
              </w:rPr>
              <w:t>€ 31,94</w:t>
            </w:r>
          </w:p>
        </w:tc>
        <w:tc>
          <w:tcPr>
            <w:tcW w:w="993"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sidRPr="008C5E1D">
              <w:rPr>
                <w:color w:val="000000"/>
                <w:sz w:val="20"/>
                <w:szCs w:val="20"/>
              </w:rPr>
              <w:t> </w:t>
            </w:r>
            <w:r>
              <w:rPr>
                <w:color w:val="000000"/>
                <w:sz w:val="20"/>
                <w:szCs w:val="20"/>
              </w:rPr>
              <w:t>€ 31,94</w:t>
            </w:r>
          </w:p>
        </w:tc>
        <w:tc>
          <w:tcPr>
            <w:tcW w:w="1134" w:type="dxa"/>
            <w:tcBorders>
              <w:top w:val="nil"/>
              <w:left w:val="nil"/>
              <w:bottom w:val="single" w:sz="4" w:space="0" w:color="auto"/>
              <w:right w:val="single" w:sz="4" w:space="0" w:color="auto"/>
            </w:tcBorders>
            <w:shd w:val="clear" w:color="auto" w:fill="auto"/>
            <w:noWrap/>
            <w:vAlign w:val="bottom"/>
            <w:hideMark/>
          </w:tcPr>
          <w:p w:rsidR="0064731F" w:rsidRPr="008C5E1D" w:rsidRDefault="0064731F" w:rsidP="00801FBB">
            <w:pPr>
              <w:rPr>
                <w:color w:val="000000"/>
                <w:sz w:val="20"/>
                <w:szCs w:val="20"/>
              </w:rPr>
            </w:pPr>
            <w:r w:rsidRPr="008C5E1D">
              <w:rPr>
                <w:color w:val="000000"/>
                <w:sz w:val="20"/>
                <w:szCs w:val="20"/>
              </w:rPr>
              <w:t> </w:t>
            </w:r>
            <w:r w:rsidRPr="008C5E1D">
              <w:rPr>
                <w:color w:val="000000"/>
                <w:sz w:val="20"/>
                <w:szCs w:val="20"/>
              </w:rPr>
              <w:t> </w:t>
            </w:r>
            <w:r>
              <w:rPr>
                <w:color w:val="000000"/>
                <w:sz w:val="20"/>
                <w:szCs w:val="20"/>
              </w:rPr>
              <w:t>€ 31,94</w:t>
            </w:r>
          </w:p>
        </w:tc>
      </w:tr>
    </w:tbl>
    <w:p w:rsidR="00801FBB" w:rsidRDefault="00801FBB" w:rsidP="00801FBB">
      <w:pPr>
        <w:rPr>
          <w:rFonts w:ascii="Verdana" w:hAnsi="Verdana"/>
          <w:sz w:val="18"/>
          <w:szCs w:val="18"/>
        </w:rPr>
      </w:pPr>
    </w:p>
    <w:p w:rsidR="00801FBB" w:rsidRDefault="00801FBB" w:rsidP="00801FB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Pr>
          <w:rFonts w:ascii="Verdana" w:hAnsi="Verdana"/>
          <w:b/>
          <w:sz w:val="18"/>
          <w:szCs w:val="18"/>
        </w:rPr>
        <w:t>7</w:t>
      </w:r>
      <w:r w:rsidRPr="00983D3E">
        <w:rPr>
          <w:rFonts w:ascii="Verdana" w:hAnsi="Verdana"/>
          <w:b/>
          <w:sz w:val="18"/>
          <w:szCs w:val="18"/>
        </w:rPr>
        <w:t>-1</w:t>
      </w:r>
      <w:r>
        <w:rPr>
          <w:rFonts w:ascii="Verdana" w:hAnsi="Verdana"/>
          <w:b/>
          <w:sz w:val="18"/>
          <w:szCs w:val="18"/>
        </w:rPr>
        <w:t>8 (sept. 2018)</w:t>
      </w:r>
    </w:p>
    <w:tbl>
      <w:tblPr>
        <w:tblW w:w="7860" w:type="dxa"/>
        <w:tblCellMar>
          <w:left w:w="70" w:type="dxa"/>
          <w:right w:w="70" w:type="dxa"/>
        </w:tblCellMar>
        <w:tblLook w:val="04A0" w:firstRow="1" w:lastRow="0" w:firstColumn="1" w:lastColumn="0" w:noHBand="0" w:noVBand="1"/>
      </w:tblPr>
      <w:tblGrid>
        <w:gridCol w:w="2740"/>
        <w:gridCol w:w="1780"/>
        <w:gridCol w:w="1780"/>
        <w:gridCol w:w="1560"/>
      </w:tblGrid>
      <w:tr w:rsidR="00801FBB" w:rsidRPr="005D0EC3" w:rsidTr="00801FBB">
        <w:trPr>
          <w:trHeight w:val="25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color w:val="000000"/>
                <w:sz w:val="20"/>
                <w:szCs w:val="20"/>
              </w:rPr>
            </w:pPr>
            <w:r w:rsidRPr="005D0EC3">
              <w:rPr>
                <w:color w:val="000000"/>
                <w:sz w:val="20"/>
                <w:szCs w:val="20"/>
              </w:rPr>
              <w:t>ondersteuningsbekostiging</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proofErr w:type="spellStart"/>
            <w:r w:rsidRPr="005D0EC3">
              <w:rPr>
                <w:rFonts w:ascii="Calibri" w:hAnsi="Calibri" w:cs="Calibri"/>
                <w:sz w:val="20"/>
                <w:szCs w:val="20"/>
              </w:rPr>
              <w:t>cat</w:t>
            </w:r>
            <w:proofErr w:type="spellEnd"/>
            <w:r w:rsidRPr="005D0EC3">
              <w:rPr>
                <w:rFonts w:ascii="Calibri" w:hAnsi="Calibri" w:cs="Calibri"/>
                <w:sz w:val="20"/>
                <w:szCs w:val="20"/>
              </w:rPr>
              <w:t xml:space="preserve"> 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proofErr w:type="spellStart"/>
            <w:r w:rsidRPr="005D0EC3">
              <w:rPr>
                <w:rFonts w:ascii="Calibri" w:hAnsi="Calibri" w:cs="Calibri"/>
                <w:sz w:val="20"/>
                <w:szCs w:val="20"/>
              </w:rPr>
              <w:t>cat</w:t>
            </w:r>
            <w:proofErr w:type="spellEnd"/>
            <w:r w:rsidRPr="005D0EC3">
              <w:rPr>
                <w:rFonts w:ascii="Calibri" w:hAnsi="Calibri" w:cs="Calibri"/>
                <w:sz w:val="20"/>
                <w:szCs w:val="20"/>
              </w:rPr>
              <w:t xml:space="preserve"> 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proofErr w:type="spellStart"/>
            <w:r w:rsidRPr="005D0EC3">
              <w:rPr>
                <w:rFonts w:ascii="Calibri" w:hAnsi="Calibri" w:cs="Calibri"/>
                <w:sz w:val="20"/>
                <w:szCs w:val="20"/>
              </w:rPr>
              <w:t>cat</w:t>
            </w:r>
            <w:proofErr w:type="spellEnd"/>
            <w:r w:rsidRPr="005D0EC3">
              <w:rPr>
                <w:rFonts w:ascii="Calibri" w:hAnsi="Calibri" w:cs="Calibri"/>
                <w:sz w:val="20"/>
                <w:szCs w:val="20"/>
              </w:rPr>
              <w:t xml:space="preserve"> 3</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9.891,82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14.402,86 </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22.044,74 </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jc w:val="center"/>
              <w:rPr>
                <w:rFonts w:ascii="Calibri" w:hAnsi="Calibri" w:cs="Calibri"/>
                <w:sz w:val="20"/>
                <w:szCs w:val="20"/>
              </w:rPr>
            </w:pPr>
            <w:r w:rsidRPr="005D0EC3">
              <w:rPr>
                <w:rFonts w:ascii="Calibri" w:hAnsi="Calibri" w:cs="Calibri"/>
                <w:sz w:val="20"/>
                <w:szCs w:val="20"/>
              </w:rPr>
              <w:t xml:space="preserve"> €                 9.051,99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15.630,45 </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23.272,33 </w:t>
            </w:r>
          </w:p>
        </w:tc>
      </w:tr>
      <w:tr w:rsidR="00801FBB" w:rsidRPr="005D0EC3" w:rsidTr="00801FBB">
        <w:trPr>
          <w:trHeight w:val="25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10.109,54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17.753,16 </w:t>
            </w:r>
          </w:p>
        </w:tc>
        <w:tc>
          <w:tcPr>
            <w:tcW w:w="156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sz w:val="20"/>
                <w:szCs w:val="20"/>
              </w:rPr>
            </w:pPr>
            <w:r w:rsidRPr="005D0EC3">
              <w:rPr>
                <w:rFonts w:ascii="Calibri" w:hAnsi="Calibri" w:cs="Calibri"/>
                <w:sz w:val="20"/>
                <w:szCs w:val="20"/>
              </w:rPr>
              <w:t xml:space="preserve"> €          21.998,49 </w:t>
            </w:r>
          </w:p>
        </w:tc>
      </w:tr>
    </w:tbl>
    <w:p w:rsidR="00801FBB" w:rsidRPr="00983D3E" w:rsidRDefault="00801FBB" w:rsidP="00801FBB">
      <w:pPr>
        <w:rPr>
          <w:rFonts w:ascii="Verdana" w:hAnsi="Verdana"/>
          <w:b/>
          <w:sz w:val="18"/>
          <w:szCs w:val="18"/>
        </w:rPr>
      </w:pPr>
    </w:p>
    <w:p w:rsidR="00801FBB" w:rsidRPr="00983D3E" w:rsidRDefault="00801FBB" w:rsidP="00801FBB">
      <w:pPr>
        <w:rPr>
          <w:rFonts w:ascii="Verdana" w:hAnsi="Verdana"/>
          <w:b/>
          <w:sz w:val="18"/>
          <w:szCs w:val="18"/>
        </w:rPr>
      </w:pPr>
      <w:r w:rsidRPr="00983D3E">
        <w:rPr>
          <w:rFonts w:ascii="Verdana" w:hAnsi="Verdana"/>
          <w:b/>
          <w:sz w:val="18"/>
          <w:szCs w:val="18"/>
        </w:rPr>
        <w:t>Bedragen (V)SO vanaf 1 augustus 201</w:t>
      </w:r>
      <w:r w:rsidR="00A91E3D">
        <w:rPr>
          <w:rFonts w:ascii="Verdana" w:hAnsi="Verdana"/>
          <w:b/>
          <w:sz w:val="18"/>
          <w:szCs w:val="18"/>
        </w:rPr>
        <w:t>9</w:t>
      </w:r>
      <w:r w:rsidRPr="00983D3E">
        <w:rPr>
          <w:rFonts w:ascii="Verdana" w:hAnsi="Verdana"/>
          <w:b/>
          <w:sz w:val="18"/>
          <w:szCs w:val="18"/>
        </w:rPr>
        <w:t xml:space="preserve"> o.b.v. prijzen 201</w:t>
      </w:r>
      <w:r w:rsidR="00A91E3D">
        <w:rPr>
          <w:rFonts w:ascii="Verdana" w:hAnsi="Verdana"/>
          <w:b/>
          <w:sz w:val="18"/>
          <w:szCs w:val="18"/>
        </w:rPr>
        <w:t>9</w:t>
      </w:r>
      <w:r w:rsidRPr="00983D3E">
        <w:rPr>
          <w:rFonts w:ascii="Verdana" w:hAnsi="Verdana"/>
          <w:b/>
          <w:sz w:val="18"/>
          <w:szCs w:val="18"/>
        </w:rPr>
        <w:t>-20</w:t>
      </w:r>
      <w:r w:rsidR="00A91E3D">
        <w:rPr>
          <w:rFonts w:ascii="Verdana" w:hAnsi="Verdana"/>
          <w:b/>
          <w:sz w:val="18"/>
          <w:szCs w:val="18"/>
        </w:rPr>
        <w:t>20</w:t>
      </w:r>
      <w:r w:rsidRPr="00983D3E">
        <w:rPr>
          <w:rFonts w:ascii="Verdana" w:hAnsi="Verdana"/>
          <w:b/>
          <w:sz w:val="18"/>
          <w:szCs w:val="18"/>
        </w:rPr>
        <w:t xml:space="preserve"> (</w:t>
      </w:r>
      <w:r w:rsidR="00A91E3D">
        <w:rPr>
          <w:rFonts w:ascii="Verdana" w:hAnsi="Verdana"/>
          <w:b/>
          <w:sz w:val="18"/>
          <w:szCs w:val="18"/>
        </w:rPr>
        <w:t>apr</w:t>
      </w:r>
      <w:r>
        <w:rPr>
          <w:rFonts w:ascii="Verdana" w:hAnsi="Verdana"/>
          <w:b/>
          <w:sz w:val="18"/>
          <w:szCs w:val="18"/>
        </w:rPr>
        <w:t>. 201</w:t>
      </w:r>
      <w:r w:rsidR="00A91E3D">
        <w:rPr>
          <w:rFonts w:ascii="Verdana" w:hAnsi="Verdana"/>
          <w:b/>
          <w:sz w:val="18"/>
          <w:szCs w:val="18"/>
        </w:rPr>
        <w:t>9</w:t>
      </w:r>
      <w:r w:rsidRPr="00983D3E">
        <w:rPr>
          <w:rFonts w:ascii="Verdana" w:hAnsi="Verdana"/>
          <w:b/>
          <w:sz w:val="18"/>
          <w:szCs w:val="18"/>
        </w:rPr>
        <w:t>)</w:t>
      </w:r>
    </w:p>
    <w:p w:rsidR="00801FBB" w:rsidRDefault="00801FBB" w:rsidP="00801FB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 xml:space="preserve">       </w:t>
      </w:r>
      <w:r w:rsidRPr="00983D3E">
        <w:rPr>
          <w:rFonts w:ascii="Verdana" w:hAnsi="Verdana"/>
          <w:b/>
          <w:sz w:val="18"/>
          <w:szCs w:val="18"/>
        </w:rPr>
        <w:t>x GGL</w:t>
      </w:r>
      <w:r>
        <w:rPr>
          <w:rFonts w:ascii="Verdana" w:hAnsi="Verdana"/>
          <w:b/>
          <w:sz w:val="18"/>
          <w:szCs w:val="18"/>
        </w:rPr>
        <w:tab/>
        <w:t xml:space="preserve">        o.b.v. GPL</w:t>
      </w:r>
    </w:p>
    <w:tbl>
      <w:tblPr>
        <w:tblW w:w="8700" w:type="dxa"/>
        <w:tblCellMar>
          <w:left w:w="70" w:type="dxa"/>
          <w:right w:w="70" w:type="dxa"/>
        </w:tblCellMar>
        <w:tblLook w:val="04A0" w:firstRow="1" w:lastRow="0" w:firstColumn="1" w:lastColumn="0" w:noHBand="0" w:noVBand="1"/>
      </w:tblPr>
      <w:tblGrid>
        <w:gridCol w:w="3360"/>
        <w:gridCol w:w="1780"/>
        <w:gridCol w:w="1780"/>
        <w:gridCol w:w="1780"/>
      </w:tblGrid>
      <w:tr w:rsidR="00801FBB" w:rsidRPr="005D0EC3" w:rsidTr="00801FBB">
        <w:trPr>
          <w:trHeight w:val="255"/>
        </w:trPr>
        <w:tc>
          <w:tcPr>
            <w:tcW w:w="3360" w:type="dxa"/>
            <w:tcBorders>
              <w:top w:val="single" w:sz="4" w:space="0" w:color="auto"/>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 xml:space="preserve">Vast per school </w:t>
            </w:r>
            <w:proofErr w:type="spellStart"/>
            <w:r w:rsidRPr="005D0EC3">
              <w:rPr>
                <w:rFonts w:ascii="Calibri" w:hAnsi="Calibri" w:cs="Calibri"/>
                <w:color w:val="000000"/>
                <w:sz w:val="20"/>
                <w:szCs w:val="20"/>
              </w:rPr>
              <w:t>exlusief</w:t>
            </w:r>
            <w:proofErr w:type="spellEnd"/>
            <w:r w:rsidRPr="005D0EC3">
              <w:rPr>
                <w:rFonts w:ascii="Calibri" w:hAnsi="Calibri" w:cs="Calibri"/>
                <w:color w:val="000000"/>
                <w:sz w:val="20"/>
                <w:szCs w:val="20"/>
              </w:rPr>
              <w:t xml:space="preserve"> directie</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€ 29.1</w:t>
            </w:r>
            <w:r w:rsidR="00A91E3D">
              <w:rPr>
                <w:rFonts w:ascii="Calibri" w:hAnsi="Calibri" w:cs="Calibri"/>
                <w:color w:val="000000"/>
                <w:sz w:val="20"/>
                <w:szCs w:val="20"/>
              </w:rPr>
              <w:t>17</w:t>
            </w:r>
            <w:r w:rsidRPr="005D0EC3">
              <w:rPr>
                <w:rFonts w:ascii="Calibri" w:hAnsi="Calibri" w:cs="Calibri"/>
                <w:color w:val="000000"/>
                <w:sz w:val="20"/>
                <w:szCs w:val="20"/>
              </w:rPr>
              <w:t>,</w:t>
            </w:r>
            <w:r w:rsidR="00A91E3D">
              <w:rPr>
                <w:rFonts w:ascii="Calibri" w:hAnsi="Calibri" w:cs="Calibri"/>
                <w:color w:val="000000"/>
                <w:sz w:val="20"/>
                <w:szCs w:val="20"/>
              </w:rPr>
              <w:t>16</w:t>
            </w:r>
            <w:r w:rsidRPr="005D0EC3">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€ 1.31</w:t>
            </w:r>
            <w:r w:rsidR="00A91E3D">
              <w:rPr>
                <w:rFonts w:ascii="Calibri" w:hAnsi="Calibri" w:cs="Calibri"/>
                <w:color w:val="000000"/>
                <w:sz w:val="20"/>
                <w:szCs w:val="20"/>
              </w:rPr>
              <w:t>8,97</w:t>
            </w:r>
            <w:r w:rsidRPr="005D0EC3">
              <w:rPr>
                <w:rFonts w:ascii="Calibri" w:hAnsi="Calibri" w:cs="Calibri"/>
                <w:color w:val="000000"/>
                <w:sz w:val="20"/>
                <w:szCs w:val="20"/>
              </w:rPr>
              <w:t xml:space="preserve"> </w:t>
            </w:r>
          </w:p>
        </w:tc>
        <w:tc>
          <w:tcPr>
            <w:tcW w:w="1780" w:type="dxa"/>
            <w:tcBorders>
              <w:top w:val="single" w:sz="4" w:space="0" w:color="auto"/>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€ 83.7</w:t>
            </w:r>
            <w:r w:rsidR="00A91E3D">
              <w:rPr>
                <w:rFonts w:ascii="Calibri" w:hAnsi="Calibri" w:cs="Calibri"/>
                <w:color w:val="000000"/>
                <w:sz w:val="20"/>
                <w:szCs w:val="20"/>
              </w:rPr>
              <w:t>88,29</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&lt;8</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€ 1.402,</w:t>
            </w:r>
            <w:r w:rsidR="00A91E3D">
              <w:rPr>
                <w:rFonts w:ascii="Calibri" w:hAnsi="Calibri" w:cs="Calibri"/>
                <w:color w:val="000000"/>
                <w:sz w:val="20"/>
                <w:szCs w:val="20"/>
              </w:rPr>
              <w:t>01</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801FBB">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63,51</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€ 4.03</w:t>
            </w:r>
            <w:r w:rsidR="00A91E3D">
              <w:rPr>
                <w:rFonts w:ascii="Calibri" w:hAnsi="Calibri" w:cs="Calibri"/>
                <w:color w:val="000000"/>
                <w:sz w:val="20"/>
                <w:szCs w:val="20"/>
              </w:rPr>
              <w:t>4</w:t>
            </w:r>
            <w:r w:rsidRPr="005D0EC3">
              <w:rPr>
                <w:rFonts w:ascii="Calibri" w:hAnsi="Calibri" w:cs="Calibri"/>
                <w:color w:val="000000"/>
                <w:sz w:val="20"/>
                <w:szCs w:val="20"/>
              </w:rPr>
              <w:t>,4</w:t>
            </w:r>
            <w:r w:rsidR="00A91E3D">
              <w:rPr>
                <w:rFonts w:ascii="Calibri" w:hAnsi="Calibri" w:cs="Calibri"/>
                <w:color w:val="000000"/>
                <w:sz w:val="20"/>
                <w:szCs w:val="20"/>
              </w:rPr>
              <w:t>6</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SO ≥8</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€ 975,</w:t>
            </w:r>
            <w:r w:rsidR="00A91E3D">
              <w:rPr>
                <w:rFonts w:ascii="Calibri" w:hAnsi="Calibri" w:cs="Calibri"/>
                <w:color w:val="000000"/>
                <w:sz w:val="20"/>
                <w:szCs w:val="20"/>
              </w:rPr>
              <w:t>20</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801FBB">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44,18</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€ 2.80</w:t>
            </w:r>
            <w:r w:rsidR="00A91E3D">
              <w:rPr>
                <w:rFonts w:ascii="Calibri" w:hAnsi="Calibri" w:cs="Calibri"/>
                <w:color w:val="000000"/>
                <w:sz w:val="20"/>
                <w:szCs w:val="20"/>
              </w:rPr>
              <w:t>6</w:t>
            </w:r>
            <w:r w:rsidRPr="005D0EC3">
              <w:rPr>
                <w:rFonts w:ascii="Calibri" w:hAnsi="Calibri" w:cs="Calibri"/>
                <w:color w:val="000000"/>
                <w:sz w:val="20"/>
                <w:szCs w:val="20"/>
              </w:rPr>
              <w:t>,</w:t>
            </w:r>
            <w:r w:rsidR="00A91E3D">
              <w:rPr>
                <w:rFonts w:ascii="Calibri" w:hAnsi="Calibri" w:cs="Calibri"/>
                <w:color w:val="000000"/>
                <w:sz w:val="20"/>
                <w:szCs w:val="20"/>
              </w:rPr>
              <w:t>27</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nil"/>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r w:rsidRPr="005D0EC3">
              <w:rPr>
                <w:rFonts w:ascii="Calibri" w:hAnsi="Calibri" w:cs="Calibri"/>
                <w:color w:val="000000"/>
                <w:sz w:val="20"/>
                <w:szCs w:val="20"/>
              </w:rPr>
              <w:t>per leerling VSO</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€ 1.898,</w:t>
            </w:r>
            <w:r w:rsidR="00A91E3D">
              <w:rPr>
                <w:rFonts w:ascii="Calibri" w:hAnsi="Calibri" w:cs="Calibri"/>
                <w:color w:val="000000"/>
                <w:sz w:val="20"/>
                <w:szCs w:val="20"/>
              </w:rPr>
              <w:t>30</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85,99</w:t>
            </w:r>
            <w:r w:rsidRPr="005D0EC3">
              <w:rPr>
                <w:rFonts w:ascii="Calibri" w:hAnsi="Calibri" w:cs="Calibri"/>
                <w:color w:val="000000"/>
                <w:sz w:val="20"/>
                <w:szCs w:val="20"/>
              </w:rPr>
              <w:t xml:space="preserve"> </w:t>
            </w:r>
          </w:p>
        </w:tc>
        <w:tc>
          <w:tcPr>
            <w:tcW w:w="1780" w:type="dxa"/>
            <w:tcBorders>
              <w:top w:val="nil"/>
              <w:left w:val="nil"/>
              <w:bottom w:val="nil"/>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€ 5.4</w:t>
            </w:r>
            <w:r w:rsidR="00A91E3D">
              <w:rPr>
                <w:rFonts w:ascii="Calibri" w:hAnsi="Calibri" w:cs="Calibri"/>
                <w:color w:val="000000"/>
                <w:sz w:val="20"/>
                <w:szCs w:val="20"/>
              </w:rPr>
              <w:t>62,59</w:t>
            </w:r>
            <w:r w:rsidRPr="005D0EC3">
              <w:rPr>
                <w:rFonts w:ascii="Calibri" w:hAnsi="Calibri" w:cs="Calibri"/>
                <w:color w:val="000000"/>
                <w:sz w:val="20"/>
                <w:szCs w:val="20"/>
              </w:rPr>
              <w:t xml:space="preserve"> </w:t>
            </w:r>
          </w:p>
        </w:tc>
      </w:tr>
      <w:tr w:rsidR="00801FBB" w:rsidRPr="005D0EC3" w:rsidTr="00801FBB">
        <w:trPr>
          <w:trHeight w:val="255"/>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801FBB" w:rsidRPr="005D0EC3" w:rsidRDefault="00801FBB" w:rsidP="00801FBB">
            <w:pPr>
              <w:rPr>
                <w:rFonts w:ascii="Calibri" w:hAnsi="Calibri" w:cs="Calibri"/>
                <w:color w:val="000000"/>
                <w:sz w:val="20"/>
                <w:szCs w:val="20"/>
              </w:rPr>
            </w:pPr>
            <w:proofErr w:type="spellStart"/>
            <w:r w:rsidRPr="005D0EC3">
              <w:rPr>
                <w:rFonts w:ascii="Calibri" w:hAnsi="Calibri" w:cs="Calibri"/>
                <w:color w:val="000000"/>
                <w:sz w:val="20"/>
                <w:szCs w:val="20"/>
              </w:rPr>
              <w:t>cumi-leerling</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€ 955,</w:t>
            </w:r>
            <w:r w:rsidR="00A91E3D">
              <w:rPr>
                <w:rFonts w:ascii="Calibri" w:hAnsi="Calibri" w:cs="Calibri"/>
                <w:color w:val="000000"/>
                <w:sz w:val="20"/>
                <w:szCs w:val="20"/>
              </w:rPr>
              <w:t>35</w:t>
            </w:r>
            <w:r w:rsidRPr="005D0EC3">
              <w:rPr>
                <w:rFonts w:ascii="Calibri" w:hAnsi="Calibri" w:cs="Calibri"/>
                <w:color w:val="00000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801FBB">
            <w:pPr>
              <w:jc w:val="right"/>
              <w:rPr>
                <w:rFonts w:ascii="Calibri" w:hAnsi="Calibri" w:cs="Calibri"/>
                <w:color w:val="000000"/>
                <w:sz w:val="20"/>
                <w:szCs w:val="20"/>
              </w:rPr>
            </w:pPr>
            <w:r w:rsidRPr="005D0EC3">
              <w:rPr>
                <w:rFonts w:ascii="Calibri" w:hAnsi="Calibri" w:cs="Calibri"/>
                <w:color w:val="000000"/>
                <w:sz w:val="20"/>
                <w:szCs w:val="20"/>
              </w:rPr>
              <w:t>€</w:t>
            </w:r>
            <w:r w:rsidR="00A91E3D">
              <w:rPr>
                <w:rFonts w:ascii="Calibri" w:hAnsi="Calibri" w:cs="Calibri"/>
                <w:color w:val="000000"/>
                <w:sz w:val="20"/>
                <w:szCs w:val="20"/>
              </w:rPr>
              <w:t xml:space="preserve"> 43,28</w:t>
            </w:r>
            <w:r w:rsidRPr="005D0EC3">
              <w:rPr>
                <w:rFonts w:ascii="Calibri" w:hAnsi="Calibri" w:cs="Calibri"/>
                <w:color w:val="00000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801FBB" w:rsidRPr="005D0EC3" w:rsidRDefault="00801FBB" w:rsidP="00A91E3D">
            <w:pPr>
              <w:jc w:val="right"/>
              <w:rPr>
                <w:rFonts w:ascii="Calibri" w:hAnsi="Calibri" w:cs="Calibri"/>
                <w:color w:val="000000"/>
                <w:sz w:val="20"/>
                <w:szCs w:val="20"/>
              </w:rPr>
            </w:pPr>
            <w:r w:rsidRPr="005D0EC3">
              <w:rPr>
                <w:rFonts w:ascii="Calibri" w:hAnsi="Calibri" w:cs="Calibri"/>
                <w:color w:val="000000"/>
                <w:sz w:val="20"/>
                <w:szCs w:val="20"/>
              </w:rPr>
              <w:t>€ 2.74</w:t>
            </w:r>
            <w:r w:rsidR="00A91E3D">
              <w:rPr>
                <w:rFonts w:ascii="Calibri" w:hAnsi="Calibri" w:cs="Calibri"/>
                <w:color w:val="000000"/>
                <w:sz w:val="20"/>
                <w:szCs w:val="20"/>
              </w:rPr>
              <w:t>9</w:t>
            </w:r>
            <w:r w:rsidRPr="005D0EC3">
              <w:rPr>
                <w:rFonts w:ascii="Calibri" w:hAnsi="Calibri" w:cs="Calibri"/>
                <w:color w:val="000000"/>
                <w:sz w:val="20"/>
                <w:szCs w:val="20"/>
              </w:rPr>
              <w:t>,</w:t>
            </w:r>
            <w:r w:rsidR="00A91E3D">
              <w:rPr>
                <w:rFonts w:ascii="Calibri" w:hAnsi="Calibri" w:cs="Calibri"/>
                <w:color w:val="000000"/>
                <w:sz w:val="20"/>
                <w:szCs w:val="20"/>
              </w:rPr>
              <w:t>15</w:t>
            </w:r>
            <w:r w:rsidRPr="005D0EC3">
              <w:rPr>
                <w:rFonts w:ascii="Calibri" w:hAnsi="Calibri" w:cs="Calibri"/>
                <w:color w:val="000000"/>
                <w:sz w:val="20"/>
                <w:szCs w:val="20"/>
              </w:rPr>
              <w:t xml:space="preserve"> </w:t>
            </w:r>
          </w:p>
        </w:tc>
      </w:tr>
    </w:tbl>
    <w:p w:rsidR="00801FBB" w:rsidRDefault="00801FBB" w:rsidP="00801FBB">
      <w:pPr>
        <w:rPr>
          <w:rFonts w:ascii="Verdana" w:hAnsi="Verdana"/>
          <w:b/>
          <w:sz w:val="18"/>
          <w:szCs w:val="18"/>
        </w:rPr>
      </w:pPr>
    </w:p>
    <w:p w:rsidR="00801FBB" w:rsidRPr="0023169C" w:rsidRDefault="00801FBB" w:rsidP="00801FB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A91E3D">
        <w:rPr>
          <w:rFonts w:ascii="Verdana" w:hAnsi="Verdana"/>
          <w:sz w:val="18"/>
          <w:szCs w:val="18"/>
        </w:rPr>
        <w:t>727,83</w:t>
      </w:r>
    </w:p>
    <w:p w:rsidR="00801FBB" w:rsidRPr="0023169C" w:rsidRDefault="00801FBB" w:rsidP="00801FBB">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€ 14</w:t>
      </w:r>
      <w:r w:rsidR="00A91E3D">
        <w:rPr>
          <w:rFonts w:ascii="Verdana" w:hAnsi="Verdana"/>
          <w:sz w:val="18"/>
          <w:szCs w:val="18"/>
        </w:rPr>
        <w:t>8</w:t>
      </w:r>
      <w:r>
        <w:rPr>
          <w:rFonts w:ascii="Verdana" w:hAnsi="Verdana"/>
          <w:sz w:val="18"/>
          <w:szCs w:val="18"/>
        </w:rPr>
        <w:t>,</w:t>
      </w:r>
      <w:r w:rsidR="00A91E3D">
        <w:rPr>
          <w:rFonts w:ascii="Verdana" w:hAnsi="Verdana"/>
          <w:sz w:val="18"/>
          <w:szCs w:val="18"/>
        </w:rPr>
        <w:t>27</w:t>
      </w:r>
    </w:p>
    <w:p w:rsidR="00801FBB" w:rsidRDefault="00801FBB" w:rsidP="00801FBB">
      <w:pPr>
        <w:rPr>
          <w:rFonts w:ascii="Verdana" w:hAnsi="Verdana"/>
          <w:sz w:val="18"/>
          <w:szCs w:val="18"/>
        </w:rPr>
      </w:pPr>
    </w:p>
    <w:p w:rsidR="00801FBB" w:rsidRDefault="00801FBB" w:rsidP="00801FBB">
      <w:pPr>
        <w:rPr>
          <w:rFonts w:ascii="Verdana" w:hAnsi="Verdana"/>
          <w:sz w:val="18"/>
          <w:szCs w:val="18"/>
        </w:rPr>
      </w:pPr>
      <w:r>
        <w:rPr>
          <w:rFonts w:ascii="Verdana" w:hAnsi="Verdana"/>
          <w:sz w:val="18"/>
          <w:szCs w:val="18"/>
        </w:rPr>
        <w:t>Directietoeslagen</w:t>
      </w:r>
    </w:p>
    <w:p w:rsidR="00801FBB" w:rsidRDefault="00A06686" w:rsidP="00801FBB">
      <w:pPr>
        <w:rPr>
          <w:rFonts w:ascii="Verdana" w:hAnsi="Verdana"/>
          <w:sz w:val="18"/>
          <w:szCs w:val="18"/>
        </w:rPr>
      </w:pPr>
      <w:r w:rsidRPr="00A06686">
        <w:drawing>
          <wp:inline distT="0" distB="0" distL="0" distR="0">
            <wp:extent cx="5759450" cy="3874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801FBB" w:rsidRDefault="00801FBB" w:rsidP="00801FBB">
      <w:pPr>
        <w:rPr>
          <w:rFonts w:ascii="Verdana" w:hAnsi="Verdana"/>
          <w:sz w:val="18"/>
          <w:szCs w:val="18"/>
        </w:rPr>
      </w:pPr>
    </w:p>
    <w:p w:rsidR="00801FBB" w:rsidRPr="00983D3E" w:rsidRDefault="00801FBB" w:rsidP="00801FB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201</w:t>
      </w:r>
      <w:r w:rsidR="00A06686">
        <w:rPr>
          <w:rFonts w:ascii="Verdana" w:hAnsi="Verdana"/>
          <w:b/>
          <w:sz w:val="18"/>
          <w:szCs w:val="18"/>
        </w:rPr>
        <w:t>9</w:t>
      </w:r>
      <w:r w:rsidRPr="00983D3E">
        <w:rPr>
          <w:rFonts w:ascii="Verdana" w:hAnsi="Verdana"/>
          <w:b/>
          <w:sz w:val="18"/>
          <w:szCs w:val="18"/>
        </w:rPr>
        <w:t xml:space="preserve"> </w:t>
      </w:r>
    </w:p>
    <w:p w:rsidR="00801FBB" w:rsidRDefault="00801FBB" w:rsidP="00801FB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801FBB" w:rsidRPr="005C2F9A" w:rsidRDefault="00801FBB" w:rsidP="00801FBB">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19.6</w:t>
      </w:r>
      <w:r w:rsidR="00A06686">
        <w:rPr>
          <w:rFonts w:ascii="Verdana" w:hAnsi="Verdana"/>
          <w:sz w:val="18"/>
          <w:szCs w:val="18"/>
        </w:rPr>
        <w:t>5</w:t>
      </w:r>
      <w:r>
        <w:rPr>
          <w:rFonts w:ascii="Verdana" w:hAnsi="Verdana"/>
          <w:sz w:val="18"/>
          <w:szCs w:val="18"/>
        </w:rPr>
        <w:t>7,</w:t>
      </w:r>
      <w:r w:rsidR="00A06686">
        <w:rPr>
          <w:rFonts w:ascii="Verdana" w:hAnsi="Verdana"/>
          <w:sz w:val="18"/>
          <w:szCs w:val="18"/>
        </w:rPr>
        <w:t>74</w:t>
      </w:r>
      <w:r w:rsidRPr="005C2F9A">
        <w:rPr>
          <w:rFonts w:ascii="Verdana" w:hAnsi="Verdana"/>
          <w:sz w:val="18"/>
          <w:szCs w:val="18"/>
        </w:rPr>
        <w:tab/>
        <w:t>€   8.</w:t>
      </w:r>
      <w:r w:rsidR="00A06686">
        <w:rPr>
          <w:rFonts w:ascii="Verdana" w:hAnsi="Verdana"/>
          <w:sz w:val="18"/>
          <w:szCs w:val="18"/>
        </w:rPr>
        <w:t>48</w:t>
      </w:r>
      <w:r>
        <w:rPr>
          <w:rFonts w:ascii="Verdana" w:hAnsi="Verdana"/>
          <w:sz w:val="18"/>
          <w:szCs w:val="18"/>
        </w:rPr>
        <w:t>6,</w:t>
      </w:r>
      <w:r w:rsidR="00A06686">
        <w:rPr>
          <w:rFonts w:ascii="Verdana" w:hAnsi="Verdana"/>
          <w:sz w:val="18"/>
          <w:szCs w:val="18"/>
        </w:rPr>
        <w:t>2</w:t>
      </w:r>
      <w:r>
        <w:rPr>
          <w:rFonts w:ascii="Verdana" w:hAnsi="Verdana"/>
          <w:sz w:val="18"/>
          <w:szCs w:val="18"/>
        </w:rPr>
        <w:t>8</w:t>
      </w:r>
      <w:r>
        <w:rPr>
          <w:rFonts w:ascii="Verdana" w:hAnsi="Verdana"/>
          <w:sz w:val="18"/>
          <w:szCs w:val="18"/>
        </w:rPr>
        <w:tab/>
        <w:t>€ 14.</w:t>
      </w:r>
      <w:r w:rsidR="00A06686">
        <w:rPr>
          <w:rFonts w:ascii="Verdana" w:hAnsi="Verdana"/>
          <w:sz w:val="18"/>
          <w:szCs w:val="18"/>
        </w:rPr>
        <w:t>974</w:t>
      </w:r>
      <w:r>
        <w:rPr>
          <w:rFonts w:ascii="Verdana" w:hAnsi="Verdana"/>
          <w:sz w:val="18"/>
          <w:szCs w:val="18"/>
        </w:rPr>
        <w:t>,</w:t>
      </w:r>
      <w:r w:rsidR="00A06686">
        <w:rPr>
          <w:rFonts w:ascii="Verdana" w:hAnsi="Verdana"/>
          <w:sz w:val="18"/>
          <w:szCs w:val="18"/>
        </w:rPr>
        <w:t>5</w:t>
      </w:r>
      <w:r>
        <w:rPr>
          <w:rFonts w:ascii="Verdana" w:hAnsi="Verdana"/>
          <w:sz w:val="18"/>
          <w:szCs w:val="18"/>
        </w:rPr>
        <w:t>2</w:t>
      </w:r>
    </w:p>
    <w:p w:rsidR="00801FBB" w:rsidRPr="005C2F9A" w:rsidRDefault="00801FBB" w:rsidP="00801FBB">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sidR="00A06686">
        <w:rPr>
          <w:rFonts w:ascii="Verdana" w:hAnsi="Verdana"/>
          <w:sz w:val="18"/>
          <w:szCs w:val="18"/>
        </w:rPr>
        <w:t>8</w:t>
      </w:r>
      <w:r w:rsidRPr="005C2F9A">
        <w:rPr>
          <w:rFonts w:ascii="Verdana" w:hAnsi="Verdana"/>
          <w:sz w:val="18"/>
          <w:szCs w:val="18"/>
        </w:rPr>
        <w:t>.</w:t>
      </w:r>
      <w:r w:rsidR="00A06686">
        <w:rPr>
          <w:rFonts w:ascii="Verdana" w:hAnsi="Verdana"/>
          <w:sz w:val="18"/>
          <w:szCs w:val="18"/>
        </w:rPr>
        <w:t>102,93</w:t>
      </w:r>
      <w:r w:rsidRPr="005C2F9A">
        <w:rPr>
          <w:rFonts w:ascii="Verdana" w:hAnsi="Verdana"/>
          <w:sz w:val="18"/>
          <w:szCs w:val="18"/>
        </w:rPr>
        <w:tab/>
        <w:t>€ 2</w:t>
      </w:r>
      <w:r w:rsidR="00A06686">
        <w:rPr>
          <w:rFonts w:ascii="Verdana" w:hAnsi="Verdana"/>
          <w:sz w:val="18"/>
          <w:szCs w:val="18"/>
        </w:rPr>
        <w:t>1</w:t>
      </w:r>
      <w:r w:rsidRPr="005C2F9A">
        <w:rPr>
          <w:rFonts w:ascii="Verdana" w:hAnsi="Verdana"/>
          <w:sz w:val="18"/>
          <w:szCs w:val="18"/>
        </w:rPr>
        <w:t>.</w:t>
      </w:r>
      <w:r w:rsidR="00A06686">
        <w:rPr>
          <w:rFonts w:ascii="Verdana" w:hAnsi="Verdana"/>
          <w:sz w:val="18"/>
          <w:szCs w:val="18"/>
        </w:rPr>
        <w:t>231</w:t>
      </w:r>
      <w:r>
        <w:rPr>
          <w:rFonts w:ascii="Verdana" w:hAnsi="Verdana"/>
          <w:sz w:val="18"/>
          <w:szCs w:val="18"/>
        </w:rPr>
        <w:t>,</w:t>
      </w:r>
      <w:r w:rsidR="00A06686">
        <w:rPr>
          <w:rFonts w:ascii="Verdana" w:hAnsi="Verdana"/>
          <w:sz w:val="18"/>
          <w:szCs w:val="18"/>
        </w:rPr>
        <w:t>6</w:t>
      </w:r>
      <w:r>
        <w:rPr>
          <w:rFonts w:ascii="Verdana" w:hAnsi="Verdana"/>
          <w:sz w:val="18"/>
          <w:szCs w:val="18"/>
        </w:rPr>
        <w:t>9</w:t>
      </w:r>
      <w:r w:rsidRPr="005C2F9A">
        <w:rPr>
          <w:rFonts w:ascii="Verdana" w:hAnsi="Verdana"/>
          <w:sz w:val="18"/>
          <w:szCs w:val="18"/>
        </w:rPr>
        <w:tab/>
        <w:t>€ 2</w:t>
      </w:r>
      <w:r w:rsidR="00A06686">
        <w:rPr>
          <w:rFonts w:ascii="Verdana" w:hAnsi="Verdana"/>
          <w:sz w:val="18"/>
          <w:szCs w:val="18"/>
        </w:rPr>
        <w:t>1</w:t>
      </w:r>
      <w:r w:rsidRPr="005C2F9A">
        <w:rPr>
          <w:rFonts w:ascii="Verdana" w:hAnsi="Verdana"/>
          <w:sz w:val="18"/>
          <w:szCs w:val="18"/>
        </w:rPr>
        <w:t>.</w:t>
      </w:r>
      <w:r w:rsidR="00A06686">
        <w:rPr>
          <w:rFonts w:ascii="Verdana" w:hAnsi="Verdana"/>
          <w:sz w:val="18"/>
          <w:szCs w:val="18"/>
        </w:rPr>
        <w:t>140,72</w:t>
      </w:r>
    </w:p>
    <w:p w:rsidR="00801FBB" w:rsidRPr="005C2F9A" w:rsidRDefault="00801FBB" w:rsidP="00801FBB">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sidR="00A06686">
        <w:rPr>
          <w:rFonts w:ascii="Verdana" w:hAnsi="Verdana"/>
          <w:sz w:val="18"/>
          <w:szCs w:val="18"/>
        </w:rPr>
        <w:t>603,65</w:t>
      </w:r>
      <w:r w:rsidRPr="005C2F9A">
        <w:rPr>
          <w:rFonts w:ascii="Verdana" w:hAnsi="Verdana"/>
          <w:sz w:val="18"/>
          <w:szCs w:val="18"/>
        </w:rPr>
        <w:tab/>
        <w:t>€   8.</w:t>
      </w:r>
      <w:r w:rsidR="00A06686">
        <w:rPr>
          <w:rFonts w:ascii="Verdana" w:hAnsi="Verdana"/>
          <w:sz w:val="18"/>
          <w:szCs w:val="18"/>
        </w:rPr>
        <w:t>9</w:t>
      </w:r>
      <w:r>
        <w:rPr>
          <w:rFonts w:ascii="Verdana" w:hAnsi="Verdana"/>
          <w:sz w:val="18"/>
          <w:szCs w:val="18"/>
        </w:rPr>
        <w:t>8</w:t>
      </w:r>
      <w:r w:rsidR="00A06686">
        <w:rPr>
          <w:rFonts w:ascii="Verdana" w:hAnsi="Verdana"/>
          <w:sz w:val="18"/>
          <w:szCs w:val="18"/>
        </w:rPr>
        <w:t>0</w:t>
      </w:r>
      <w:r>
        <w:rPr>
          <w:rFonts w:ascii="Verdana" w:hAnsi="Verdana"/>
          <w:sz w:val="18"/>
          <w:szCs w:val="18"/>
        </w:rPr>
        <w:t>,</w:t>
      </w:r>
      <w:r w:rsidR="00A06686">
        <w:rPr>
          <w:rFonts w:ascii="Verdana" w:hAnsi="Verdana"/>
          <w:sz w:val="18"/>
          <w:szCs w:val="18"/>
        </w:rPr>
        <w:t>65</w:t>
      </w:r>
      <w:r w:rsidRPr="005C2F9A">
        <w:rPr>
          <w:rFonts w:ascii="Verdana" w:hAnsi="Verdana"/>
          <w:sz w:val="18"/>
          <w:szCs w:val="18"/>
        </w:rPr>
        <w:tab/>
        <w:t>€ 1</w:t>
      </w:r>
      <w:r w:rsidR="00A06686">
        <w:rPr>
          <w:rFonts w:ascii="Verdana" w:hAnsi="Verdana"/>
          <w:sz w:val="18"/>
          <w:szCs w:val="18"/>
        </w:rPr>
        <w:t>4</w:t>
      </w:r>
      <w:r w:rsidRPr="005C2F9A">
        <w:rPr>
          <w:rFonts w:ascii="Verdana" w:hAnsi="Verdana"/>
          <w:sz w:val="18"/>
          <w:szCs w:val="18"/>
        </w:rPr>
        <w:t>.</w:t>
      </w:r>
      <w:r w:rsidR="00A06686">
        <w:rPr>
          <w:rFonts w:ascii="Verdana" w:hAnsi="Verdana"/>
          <w:sz w:val="18"/>
          <w:szCs w:val="18"/>
        </w:rPr>
        <w:t>00</w:t>
      </w:r>
      <w:r>
        <w:rPr>
          <w:rFonts w:ascii="Verdana" w:hAnsi="Verdana"/>
          <w:sz w:val="18"/>
          <w:szCs w:val="18"/>
        </w:rPr>
        <w:t>8,5</w:t>
      </w:r>
      <w:r w:rsidR="00A06686">
        <w:rPr>
          <w:rFonts w:ascii="Verdana" w:hAnsi="Verdana"/>
          <w:sz w:val="18"/>
          <w:szCs w:val="18"/>
        </w:rPr>
        <w:t>9</w:t>
      </w:r>
    </w:p>
    <w:p w:rsidR="00801FBB" w:rsidRPr="005C2F9A" w:rsidRDefault="00801FBB" w:rsidP="00801FBB">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sidR="00A06686">
        <w:rPr>
          <w:rFonts w:ascii="Verdana" w:hAnsi="Verdana"/>
          <w:sz w:val="18"/>
          <w:szCs w:val="18"/>
        </w:rPr>
        <w:t>546,22</w:t>
      </w:r>
      <w:r w:rsidRPr="005C2F9A">
        <w:rPr>
          <w:rFonts w:ascii="Verdana" w:hAnsi="Verdana"/>
          <w:sz w:val="18"/>
          <w:szCs w:val="18"/>
        </w:rPr>
        <w:tab/>
        <w:t>€   7.</w:t>
      </w:r>
      <w:r w:rsidR="00A06686">
        <w:rPr>
          <w:rFonts w:ascii="Verdana" w:hAnsi="Verdana"/>
          <w:sz w:val="18"/>
          <w:szCs w:val="18"/>
        </w:rPr>
        <w:t>505,20</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sidR="00A06686">
        <w:rPr>
          <w:rFonts w:ascii="Verdana" w:hAnsi="Verdana"/>
          <w:sz w:val="18"/>
          <w:szCs w:val="18"/>
        </w:rPr>
        <w:t>325,60</w:t>
      </w:r>
    </w:p>
    <w:p w:rsidR="00801FBB" w:rsidRPr="005C2F9A" w:rsidRDefault="00801FBB" w:rsidP="00801FBB">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9</w:t>
      </w:r>
      <w:r w:rsidR="00A06686">
        <w:rPr>
          <w:rFonts w:ascii="Verdana" w:hAnsi="Verdana"/>
          <w:sz w:val="18"/>
          <w:szCs w:val="18"/>
        </w:rPr>
        <w:t>06,32</w:t>
      </w:r>
      <w:r w:rsidRPr="005C2F9A">
        <w:rPr>
          <w:rFonts w:ascii="Verdana" w:hAnsi="Verdana"/>
          <w:sz w:val="18"/>
          <w:szCs w:val="18"/>
        </w:rPr>
        <w:tab/>
        <w:t>€ 10.</w:t>
      </w:r>
      <w:r w:rsidR="00A06686">
        <w:rPr>
          <w:rFonts w:ascii="Verdana" w:hAnsi="Verdana"/>
          <w:sz w:val="18"/>
          <w:szCs w:val="18"/>
        </w:rPr>
        <w:t>80</w:t>
      </w:r>
      <w:r>
        <w:rPr>
          <w:rFonts w:ascii="Verdana" w:hAnsi="Verdana"/>
          <w:sz w:val="18"/>
          <w:szCs w:val="18"/>
        </w:rPr>
        <w:t>8,</w:t>
      </w:r>
      <w:r w:rsidR="00A06686">
        <w:rPr>
          <w:rFonts w:ascii="Verdana" w:hAnsi="Verdana"/>
          <w:sz w:val="18"/>
          <w:szCs w:val="18"/>
        </w:rPr>
        <w:t>38</w:t>
      </w:r>
      <w:r w:rsidRPr="005C2F9A">
        <w:rPr>
          <w:rFonts w:ascii="Verdana" w:hAnsi="Verdana"/>
          <w:sz w:val="18"/>
          <w:szCs w:val="18"/>
        </w:rPr>
        <w:tab/>
        <w:t>€ 13.</w:t>
      </w:r>
      <w:r w:rsidR="00A06686">
        <w:rPr>
          <w:rFonts w:ascii="Verdana" w:hAnsi="Verdana"/>
          <w:sz w:val="18"/>
          <w:szCs w:val="18"/>
        </w:rPr>
        <w:t>5</w:t>
      </w:r>
      <w:r>
        <w:rPr>
          <w:rFonts w:ascii="Verdana" w:hAnsi="Verdana"/>
          <w:sz w:val="18"/>
          <w:szCs w:val="18"/>
        </w:rPr>
        <w:t>62,</w:t>
      </w:r>
      <w:r w:rsidR="00A06686">
        <w:rPr>
          <w:rFonts w:ascii="Verdana" w:hAnsi="Verdana"/>
          <w:sz w:val="18"/>
          <w:szCs w:val="18"/>
        </w:rPr>
        <w:t>59</w:t>
      </w:r>
    </w:p>
    <w:p w:rsidR="00801FBB" w:rsidRPr="005C2F9A" w:rsidRDefault="00801FBB" w:rsidP="00801FBB">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sidR="00A06686">
        <w:rPr>
          <w:rFonts w:ascii="Verdana" w:hAnsi="Verdana"/>
          <w:sz w:val="18"/>
          <w:szCs w:val="18"/>
        </w:rPr>
        <w:t>129</w:t>
      </w:r>
      <w:r>
        <w:rPr>
          <w:rFonts w:ascii="Verdana" w:hAnsi="Verdana"/>
          <w:sz w:val="18"/>
          <w:szCs w:val="18"/>
        </w:rPr>
        <w:t>,</w:t>
      </w:r>
      <w:r w:rsidR="00A06686">
        <w:rPr>
          <w:rFonts w:ascii="Verdana" w:hAnsi="Verdana"/>
          <w:sz w:val="18"/>
          <w:szCs w:val="18"/>
        </w:rPr>
        <w:t>12</w:t>
      </w:r>
    </w:p>
    <w:p w:rsidR="00801FBB" w:rsidRDefault="00801FBB" w:rsidP="00801FBB">
      <w:pPr>
        <w:rPr>
          <w:rFonts w:ascii="Verdana" w:hAnsi="Verdana"/>
          <w:sz w:val="18"/>
          <w:szCs w:val="18"/>
        </w:rPr>
      </w:pPr>
    </w:p>
    <w:p w:rsidR="00801FBB" w:rsidRPr="00EB4110" w:rsidRDefault="00801FBB" w:rsidP="00801FB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008C0DAE">
        <w:rPr>
          <w:rFonts w:ascii="Verdana" w:hAnsi="Verdana"/>
          <w:b/>
          <w:sz w:val="18"/>
          <w:szCs w:val="18"/>
        </w:rPr>
        <w:tab/>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008C0DAE">
        <w:rPr>
          <w:rFonts w:ascii="Verdana" w:hAnsi="Verdana"/>
          <w:b/>
          <w:sz w:val="18"/>
          <w:szCs w:val="18"/>
        </w:rPr>
        <w:t xml:space="preserve">              </w:t>
      </w:r>
      <w:r w:rsidRPr="00EB4110">
        <w:rPr>
          <w:rFonts w:ascii="Verdana" w:hAnsi="Verdana"/>
          <w:b/>
          <w:sz w:val="18"/>
          <w:szCs w:val="18"/>
        </w:rPr>
        <w:t>Ondersteuningsbekostiging</w:t>
      </w:r>
    </w:p>
    <w:p w:rsidR="00801FBB" w:rsidRDefault="008C0DAE" w:rsidP="00801FBB">
      <w:pPr>
        <w:rPr>
          <w:rFonts w:ascii="Verdana" w:hAnsi="Verdana"/>
          <w:sz w:val="18"/>
          <w:szCs w:val="18"/>
        </w:rPr>
      </w:pPr>
      <w:r w:rsidRPr="008C0DAE">
        <w:drawing>
          <wp:inline distT="0" distB="0" distL="0" distR="0">
            <wp:extent cx="5629275" cy="6572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p>
    <w:p w:rsidR="008C0DAE" w:rsidRDefault="008C0DAE" w:rsidP="00801FBB">
      <w:pPr>
        <w:rPr>
          <w:rFonts w:ascii="Verdana" w:hAnsi="Verdana"/>
          <w:sz w:val="18"/>
          <w:szCs w:val="18"/>
        </w:rPr>
      </w:pPr>
    </w:p>
    <w:p w:rsidR="008C0DAE" w:rsidRPr="00983D3E" w:rsidRDefault="008C0DAE" w:rsidP="008C0DAE">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bekostiging prijzen 20</w:t>
      </w:r>
      <w:r>
        <w:rPr>
          <w:rFonts w:ascii="Verdana" w:hAnsi="Verdana"/>
          <w:b/>
          <w:sz w:val="18"/>
          <w:szCs w:val="18"/>
        </w:rPr>
        <w:t>20 (</w:t>
      </w:r>
      <w:r w:rsidRPr="008C0DAE">
        <w:rPr>
          <w:rFonts w:ascii="Verdana" w:hAnsi="Verdana"/>
          <w:b/>
          <w:sz w:val="18"/>
          <w:szCs w:val="18"/>
          <w:highlight w:val="yellow"/>
        </w:rPr>
        <w:t>indexatie in sept. 2019</w:t>
      </w:r>
      <w:r>
        <w:rPr>
          <w:rFonts w:ascii="Verdana" w:hAnsi="Verdana"/>
          <w:b/>
          <w:sz w:val="18"/>
          <w:szCs w:val="18"/>
        </w:rPr>
        <w:t>)</w:t>
      </w:r>
      <w:r w:rsidRPr="00983D3E">
        <w:rPr>
          <w:rFonts w:ascii="Verdana" w:hAnsi="Verdana"/>
          <w:b/>
          <w:sz w:val="18"/>
          <w:szCs w:val="18"/>
        </w:rPr>
        <w:t xml:space="preserve"> </w:t>
      </w:r>
    </w:p>
    <w:p w:rsidR="008C0DAE" w:rsidRDefault="008C0DAE" w:rsidP="008C0DAE">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8C0DAE" w:rsidRPr="005C2F9A" w:rsidRDefault="008C0DAE" w:rsidP="008C0DAE">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€ 19.657,74</w:t>
      </w:r>
      <w:r w:rsidRPr="008C0DAE">
        <w:rPr>
          <w:rFonts w:ascii="Verdana" w:hAnsi="Verdana"/>
          <w:sz w:val="18"/>
          <w:szCs w:val="18"/>
          <w:highlight w:val="yellow"/>
        </w:rPr>
        <w:tab/>
        <w:t>€   8.486,28</w:t>
      </w:r>
      <w:r w:rsidRPr="008C0DAE">
        <w:rPr>
          <w:rFonts w:ascii="Verdana" w:hAnsi="Verdana"/>
          <w:sz w:val="18"/>
          <w:szCs w:val="18"/>
          <w:highlight w:val="yellow"/>
        </w:rPr>
        <w:tab/>
        <w:t>€ 14.974,52</w:t>
      </w:r>
    </w:p>
    <w:p w:rsidR="008C0DAE" w:rsidRPr="005C2F9A" w:rsidRDefault="008C0DAE" w:rsidP="008C0DAE">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€ 28.102,93</w:t>
      </w:r>
      <w:r w:rsidRPr="008C0DAE">
        <w:rPr>
          <w:rFonts w:ascii="Verdana" w:hAnsi="Verdana"/>
          <w:sz w:val="18"/>
          <w:szCs w:val="18"/>
          <w:highlight w:val="yellow"/>
        </w:rPr>
        <w:tab/>
        <w:t>€ 21.231,69</w:t>
      </w:r>
      <w:r w:rsidRPr="008C0DAE">
        <w:rPr>
          <w:rFonts w:ascii="Verdana" w:hAnsi="Verdana"/>
          <w:sz w:val="18"/>
          <w:szCs w:val="18"/>
          <w:highlight w:val="yellow"/>
        </w:rPr>
        <w:tab/>
        <w:t>€ 21.140,72</w:t>
      </w:r>
    </w:p>
    <w:p w:rsidR="008C0DAE" w:rsidRPr="005C2F9A" w:rsidRDefault="008C0DAE" w:rsidP="008C0DAE">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€ 21.603,65</w:t>
      </w:r>
      <w:r w:rsidRPr="008C0DAE">
        <w:rPr>
          <w:rFonts w:ascii="Verdana" w:hAnsi="Verdana"/>
          <w:sz w:val="18"/>
          <w:szCs w:val="18"/>
          <w:highlight w:val="yellow"/>
        </w:rPr>
        <w:tab/>
        <w:t>€   8.980,65</w:t>
      </w:r>
      <w:r w:rsidRPr="008C0DAE">
        <w:rPr>
          <w:rFonts w:ascii="Verdana" w:hAnsi="Verdana"/>
          <w:sz w:val="18"/>
          <w:szCs w:val="18"/>
          <w:highlight w:val="yellow"/>
        </w:rPr>
        <w:tab/>
        <w:t>€ 14.008,59</w:t>
      </w:r>
    </w:p>
    <w:p w:rsidR="008C0DAE" w:rsidRPr="005C2F9A" w:rsidRDefault="008C0DAE" w:rsidP="008C0DAE">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€ 25.546,22</w:t>
      </w:r>
      <w:r w:rsidRPr="008C0DAE">
        <w:rPr>
          <w:rFonts w:ascii="Verdana" w:hAnsi="Verdana"/>
          <w:sz w:val="18"/>
          <w:szCs w:val="18"/>
          <w:highlight w:val="yellow"/>
        </w:rPr>
        <w:tab/>
        <w:t>€   7.505,20</w:t>
      </w:r>
      <w:r w:rsidRPr="008C0DAE">
        <w:rPr>
          <w:rFonts w:ascii="Verdana" w:hAnsi="Verdana"/>
          <w:sz w:val="18"/>
          <w:szCs w:val="18"/>
          <w:highlight w:val="yellow"/>
        </w:rPr>
        <w:tab/>
        <w:t>€ 10.325,60</w:t>
      </w:r>
    </w:p>
    <w:p w:rsidR="008C0DAE" w:rsidRPr="005C2F9A" w:rsidRDefault="008C0DAE" w:rsidP="008C0DAE">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€ 20.906,32</w:t>
      </w:r>
      <w:r w:rsidRPr="008C0DAE">
        <w:rPr>
          <w:rFonts w:ascii="Verdana" w:hAnsi="Verdana"/>
          <w:sz w:val="18"/>
          <w:szCs w:val="18"/>
          <w:highlight w:val="yellow"/>
        </w:rPr>
        <w:tab/>
        <w:t>€ 10.808,38</w:t>
      </w:r>
      <w:r w:rsidRPr="008C0DAE">
        <w:rPr>
          <w:rFonts w:ascii="Verdana" w:hAnsi="Verdana"/>
          <w:sz w:val="18"/>
          <w:szCs w:val="18"/>
          <w:highlight w:val="yellow"/>
        </w:rPr>
        <w:tab/>
        <w:t>€ 13.562,59</w:t>
      </w:r>
    </w:p>
    <w:p w:rsidR="008C0DAE" w:rsidRPr="005C2F9A" w:rsidRDefault="008C0DAE" w:rsidP="008C0DAE">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8C0DAE">
        <w:rPr>
          <w:rFonts w:ascii="Verdana" w:hAnsi="Verdana"/>
          <w:sz w:val="18"/>
          <w:szCs w:val="18"/>
          <w:highlight w:val="yellow"/>
        </w:rPr>
        <w:t>€   4.129,12</w:t>
      </w:r>
    </w:p>
    <w:p w:rsidR="008C0DAE" w:rsidRDefault="008C0DAE" w:rsidP="008C0DAE">
      <w:pPr>
        <w:rPr>
          <w:rFonts w:ascii="Verdana" w:hAnsi="Verdana"/>
          <w:sz w:val="18"/>
          <w:szCs w:val="18"/>
        </w:rPr>
      </w:pPr>
    </w:p>
    <w:p w:rsidR="008C0DAE" w:rsidRPr="00EB4110" w:rsidRDefault="008C0DAE" w:rsidP="008C0DAE">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Pr>
          <w:rFonts w:ascii="Verdana" w:hAnsi="Verdana"/>
          <w:b/>
          <w:sz w:val="18"/>
          <w:szCs w:val="18"/>
        </w:rPr>
        <w:tab/>
        <w:t xml:space="preserve">      </w:t>
      </w:r>
      <w:r w:rsidRPr="00EB4110">
        <w:rPr>
          <w:rFonts w:ascii="Verdana" w:hAnsi="Verdana"/>
          <w:b/>
          <w:sz w:val="18"/>
          <w:szCs w:val="18"/>
        </w:rPr>
        <w:t>Basisbekostiging</w:t>
      </w:r>
      <w:r w:rsidRPr="00EB4110">
        <w:rPr>
          <w:rFonts w:ascii="Verdana" w:hAnsi="Verdana"/>
          <w:b/>
          <w:sz w:val="18"/>
          <w:szCs w:val="18"/>
        </w:rPr>
        <w:tab/>
      </w:r>
      <w:r>
        <w:rPr>
          <w:rFonts w:ascii="Verdana" w:hAnsi="Verdana"/>
          <w:b/>
          <w:sz w:val="18"/>
          <w:szCs w:val="18"/>
        </w:rPr>
        <w:t xml:space="preserve">                 </w:t>
      </w:r>
      <w:r w:rsidRPr="00EB4110">
        <w:rPr>
          <w:rFonts w:ascii="Verdana" w:hAnsi="Verdana"/>
          <w:b/>
          <w:sz w:val="18"/>
          <w:szCs w:val="18"/>
        </w:rPr>
        <w:t>Ondersteuningsbekostiging</w:t>
      </w:r>
    </w:p>
    <w:p w:rsidR="008C0DAE" w:rsidRDefault="008C0DAE" w:rsidP="00801FBB">
      <w:pPr>
        <w:rPr>
          <w:rFonts w:ascii="Verdana" w:hAnsi="Verdana"/>
          <w:sz w:val="18"/>
          <w:szCs w:val="18"/>
        </w:rPr>
      </w:pPr>
      <w:r w:rsidRPr="008C0DAE">
        <w:rPr>
          <w:highlight w:val="yellow"/>
        </w:rPr>
        <w:drawing>
          <wp:inline distT="0" distB="0" distL="0" distR="0" wp14:anchorId="24691102" wp14:editId="6DBE5177">
            <wp:extent cx="5629275" cy="65722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9275" cy="657225"/>
                    </a:xfrm>
                    <a:prstGeom prst="rect">
                      <a:avLst/>
                    </a:prstGeom>
                    <a:noFill/>
                    <a:ln>
                      <a:noFill/>
                    </a:ln>
                  </pic:spPr>
                </pic:pic>
              </a:graphicData>
            </a:graphic>
          </wp:inline>
        </w:drawing>
      </w:r>
    </w:p>
    <w:sectPr w:rsidR="008C0DAE"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AD" w:rsidRDefault="002034AD">
      <w:r>
        <w:separator/>
      </w:r>
    </w:p>
  </w:endnote>
  <w:endnote w:type="continuationSeparator" w:id="0">
    <w:p w:rsidR="002034AD" w:rsidRDefault="0020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BB" w:rsidRDefault="00801FBB" w:rsidP="00C723EE">
    <w:pPr>
      <w:pStyle w:val="Voettekst"/>
    </w:pPr>
    <w:r>
      <w:t>Bekostiging samenwerkingsverband passend onderwijs PO april 2019</w:t>
    </w:r>
    <w:r>
      <w:tab/>
    </w:r>
    <w:sdt>
      <w:sdtPr>
        <w:id w:val="1213623989"/>
        <w:docPartObj>
          <w:docPartGallery w:val="Page Numbers (Bottom of Page)"/>
          <w:docPartUnique/>
        </w:docPartObj>
      </w:sdtPr>
      <w:sdtContent>
        <w:r>
          <w:fldChar w:fldCharType="begin"/>
        </w:r>
        <w:r>
          <w:instrText>PAGE   \* MERGEFORMAT</w:instrText>
        </w:r>
        <w:r>
          <w:fldChar w:fldCharType="separate"/>
        </w:r>
        <w:r w:rsidR="00E414A3">
          <w:rPr>
            <w:noProof/>
          </w:rPr>
          <w:t>1</w:t>
        </w:r>
        <w:r>
          <w:fldChar w:fldCharType="end"/>
        </w:r>
      </w:sdtContent>
    </w:sdt>
  </w:p>
  <w:p w:rsidR="00801FBB" w:rsidRPr="003F6877" w:rsidRDefault="00801FBB">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AD" w:rsidRDefault="002034AD">
      <w:r>
        <w:separator/>
      </w:r>
    </w:p>
  </w:footnote>
  <w:footnote w:type="continuationSeparator" w:id="0">
    <w:p w:rsidR="002034AD" w:rsidRDefault="002034AD">
      <w:r>
        <w:continuationSeparator/>
      </w:r>
    </w:p>
  </w:footnote>
  <w:footnote w:id="1">
    <w:p w:rsidR="00801FBB" w:rsidRDefault="00801FBB">
      <w:pPr>
        <w:pStyle w:val="Voetnoottekst"/>
      </w:pPr>
      <w:r>
        <w:rPr>
          <w:rStyle w:val="Voetnootmarkering"/>
        </w:rPr>
        <w:footnoteRef/>
      </w:r>
      <w:r>
        <w:t xml:space="preserve"> In de wet was eerst alleen opgenomen dat er sprake is van aanvulling van de personele ondersteuningsbekostiging en niet van de personele basisbekostiging. Inmiddels is een wetswijziging doorgevoerd (</w:t>
      </w:r>
      <w:proofErr w:type="spellStart"/>
      <w:r>
        <w:t>Stbld</w:t>
      </w:r>
      <w:proofErr w:type="spellEnd"/>
      <w:r>
        <w:t xml:space="preserve"> 2018 12, d.d. 2 febr. 2018) zodat ook de personele basisbekostiging overgedragen moet worden. In de </w:t>
      </w:r>
      <w:proofErr w:type="spellStart"/>
      <w:r>
        <w:t>MvT</w:t>
      </w:r>
      <w:proofErr w:type="spellEnd"/>
      <w:r>
        <w:t xml:space="preserve"> werd ook gesteld dat dit nu ook zou gelden voor de materiële basisbekostiging, maar dit is niet in de wettekst verwerkt.</w:t>
      </w:r>
    </w:p>
  </w:footnote>
  <w:footnote w:id="2">
    <w:p w:rsidR="00801FBB" w:rsidRDefault="00801FBB">
      <w:pPr>
        <w:pStyle w:val="Voetnoottekst"/>
      </w:pPr>
      <w:r>
        <w:rPr>
          <w:rStyle w:val="Voetnootmarkering"/>
        </w:rPr>
        <w:footnoteRef/>
      </w:r>
      <w:r>
        <w:t xml:space="preserve"> Deze regeling is weliswaar in de wet opgenomen maar omstreden omdat het logischer is om dit tekort te verhalen op de basisscholen en speciale basisscholen in het samenwerkingsverband die immers ook de voeding leveren van de zware bekostiging. </w:t>
      </w:r>
    </w:p>
  </w:footnote>
  <w:footnote w:id="3">
    <w:p w:rsidR="00801FBB" w:rsidRPr="00E86671" w:rsidRDefault="00801FBB"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4">
    <w:p w:rsidR="00801FBB" w:rsidRPr="00E86671" w:rsidRDefault="00801FBB"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5">
    <w:p w:rsidR="00801FBB" w:rsidRPr="00E86671" w:rsidRDefault="00801FBB"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801FBB" w:rsidRPr="00E86671" w:rsidRDefault="00801FBB"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801FBB" w:rsidRPr="00E86671" w:rsidRDefault="00801FBB"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801FBB" w:rsidRPr="00E86671" w:rsidRDefault="00801FBB"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801FBB" w:rsidRPr="00E86671" w:rsidRDefault="00801FBB"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6">
    <w:p w:rsidR="00801FBB" w:rsidRPr="00E86671" w:rsidRDefault="00801FBB" w:rsidP="00CD5A3E">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schoolgewicht: artikel 28 van het Besluit bekostiging WPO.</w:t>
      </w:r>
    </w:p>
  </w:footnote>
  <w:footnote w:id="7">
    <w:p w:rsidR="00801FBB" w:rsidRPr="00E86671" w:rsidRDefault="00801FBB"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w:t>
      </w:r>
      <w:r>
        <w:rPr>
          <w:rFonts w:ascii="Verdana" w:hAnsi="Verdana"/>
          <w:sz w:val="18"/>
          <w:szCs w:val="18"/>
        </w:rPr>
        <w:t>wa</w:t>
      </w:r>
      <w:r w:rsidRPr="00E86671">
        <w:rPr>
          <w:rFonts w:ascii="Verdana" w:hAnsi="Verdana"/>
          <w:sz w:val="18"/>
          <w:szCs w:val="18"/>
        </w:rPr>
        <w:t xml:space="preserve">s het advies de peildatum wel te hanteren voor de overdracht van ook de materiële bekostiging, op analoge wijze als de personele bekostiging. </w:t>
      </w:r>
      <w:r>
        <w:t>Inmiddels is een wetswijziging doorgevoerd (</w:t>
      </w:r>
      <w:proofErr w:type="spellStart"/>
      <w:r>
        <w:t>Stbld</w:t>
      </w:r>
      <w:proofErr w:type="spellEnd"/>
      <w:r>
        <w:t xml:space="preserve"> 2018 nr. 12, d.d. 2 feb. 2018) dat ook de personele basisbekostiging moet worden overgedragen. In de </w:t>
      </w:r>
      <w:proofErr w:type="spellStart"/>
      <w:r>
        <w:t>MvT</w:t>
      </w:r>
      <w:proofErr w:type="spellEnd"/>
      <w:r>
        <w:t xml:space="preserve"> van het wetsvoorstel (TK 34.732) was gesteld dat dit nu ook zou gelden voor de materiële basisbekostiging, maar dit is niet in de wettekst verwerkt.</w:t>
      </w:r>
    </w:p>
  </w:footnote>
  <w:footnote w:id="8">
    <w:p w:rsidR="00801FBB" w:rsidRPr="00655DC6" w:rsidRDefault="00801FBB">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rsidR="00801FBB" w:rsidRPr="00E86671" w:rsidRDefault="00801FBB"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801FBB" w:rsidRDefault="00801FBB" w:rsidP="00493F37">
      <w:pPr>
        <w:pStyle w:val="Voetnoottekst"/>
      </w:pPr>
      <w:r>
        <w:t xml:space="preserve"> </w:t>
      </w:r>
    </w:p>
  </w:footnote>
  <w:footnote w:id="10">
    <w:p w:rsidR="00801FBB" w:rsidRDefault="00801FBB">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rsidR="00801FBB" w:rsidRDefault="00801FBB">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2">
    <w:p w:rsidR="00801FBB" w:rsidRDefault="00801FBB">
      <w:pPr>
        <w:pStyle w:val="Voetnoottekst"/>
      </w:pPr>
      <w:r>
        <w:rPr>
          <w:rStyle w:val="Voetnootmarkering"/>
        </w:rPr>
        <w:footnoteRef/>
      </w:r>
      <w:r>
        <w:t xml:space="preserve"> Die leeftijd wordt bepaald op basis van 31 dec. T-1 en verandert niet.</w:t>
      </w:r>
    </w:p>
  </w:footnote>
  <w:footnote w:id="13">
    <w:p w:rsidR="00801FBB" w:rsidRDefault="00801FBB"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 w:id="14">
    <w:p w:rsidR="00801FBB" w:rsidRDefault="00801FBB">
      <w:pPr>
        <w:pStyle w:val="Voetnoottekst"/>
      </w:pPr>
      <w:r>
        <w:rPr>
          <w:rStyle w:val="Voetnootmarkering"/>
        </w:rPr>
        <w:footnoteRef/>
      </w:r>
      <w:r>
        <w:t xml:space="preserve"> De regeling gewichtenleerlingen is m.i.v. 1 aug. 2019 vervangen door de regeling onderwijsachterstandsscore.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83"/>
    <w:rsid w:val="00022CE8"/>
    <w:rsid w:val="00023200"/>
    <w:rsid w:val="00023F85"/>
    <w:rsid w:val="000244E4"/>
    <w:rsid w:val="00024716"/>
    <w:rsid w:val="00024773"/>
    <w:rsid w:val="00025FC0"/>
    <w:rsid w:val="0002602D"/>
    <w:rsid w:val="00026B24"/>
    <w:rsid w:val="00026CA6"/>
    <w:rsid w:val="00026F40"/>
    <w:rsid w:val="0002722E"/>
    <w:rsid w:val="00027AA1"/>
    <w:rsid w:val="00027B88"/>
    <w:rsid w:val="000301DA"/>
    <w:rsid w:val="00032C1A"/>
    <w:rsid w:val="000373AE"/>
    <w:rsid w:val="000378ED"/>
    <w:rsid w:val="00037B26"/>
    <w:rsid w:val="00037D90"/>
    <w:rsid w:val="000403C3"/>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E28"/>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34AD"/>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6241"/>
    <w:rsid w:val="00217835"/>
    <w:rsid w:val="00220442"/>
    <w:rsid w:val="002210E7"/>
    <w:rsid w:val="00221125"/>
    <w:rsid w:val="00221769"/>
    <w:rsid w:val="00221BF2"/>
    <w:rsid w:val="00221CF1"/>
    <w:rsid w:val="0022262F"/>
    <w:rsid w:val="00223ED8"/>
    <w:rsid w:val="002245F3"/>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657E"/>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13AE"/>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1BF"/>
    <w:rsid w:val="0038361F"/>
    <w:rsid w:val="00384F2A"/>
    <w:rsid w:val="00384F9C"/>
    <w:rsid w:val="00385926"/>
    <w:rsid w:val="0038596D"/>
    <w:rsid w:val="00385C00"/>
    <w:rsid w:val="00385F1D"/>
    <w:rsid w:val="00386511"/>
    <w:rsid w:val="00386593"/>
    <w:rsid w:val="00386BA9"/>
    <w:rsid w:val="00386F60"/>
    <w:rsid w:val="00386FF5"/>
    <w:rsid w:val="00390EBB"/>
    <w:rsid w:val="0039114A"/>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899"/>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592"/>
    <w:rsid w:val="003C7BEE"/>
    <w:rsid w:val="003C7C6A"/>
    <w:rsid w:val="003C7E6E"/>
    <w:rsid w:val="003D0D23"/>
    <w:rsid w:val="003D1267"/>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CD"/>
    <w:rsid w:val="00413875"/>
    <w:rsid w:val="00413B6C"/>
    <w:rsid w:val="00413E49"/>
    <w:rsid w:val="004148E2"/>
    <w:rsid w:val="00414F98"/>
    <w:rsid w:val="00415C37"/>
    <w:rsid w:val="00415EA6"/>
    <w:rsid w:val="00416181"/>
    <w:rsid w:val="00416608"/>
    <w:rsid w:val="00417186"/>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10A4"/>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0B03"/>
    <w:rsid w:val="004A1890"/>
    <w:rsid w:val="004A1E77"/>
    <w:rsid w:val="004A20E5"/>
    <w:rsid w:val="004A30D8"/>
    <w:rsid w:val="004A31F1"/>
    <w:rsid w:val="004A377B"/>
    <w:rsid w:val="004A3785"/>
    <w:rsid w:val="004A54EC"/>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5FA5"/>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457D"/>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0EC3"/>
    <w:rsid w:val="005D1132"/>
    <w:rsid w:val="005D12BF"/>
    <w:rsid w:val="005D16EB"/>
    <w:rsid w:val="005D2226"/>
    <w:rsid w:val="005D3441"/>
    <w:rsid w:val="005D41EA"/>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31F"/>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0AC4"/>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043"/>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585"/>
    <w:rsid w:val="00796629"/>
    <w:rsid w:val="0079750D"/>
    <w:rsid w:val="00797F59"/>
    <w:rsid w:val="007A04A9"/>
    <w:rsid w:val="007A0A5C"/>
    <w:rsid w:val="007A13DB"/>
    <w:rsid w:val="007A16F3"/>
    <w:rsid w:val="007A1822"/>
    <w:rsid w:val="007A199F"/>
    <w:rsid w:val="007A1AC6"/>
    <w:rsid w:val="007A3227"/>
    <w:rsid w:val="007A3E01"/>
    <w:rsid w:val="007A44E6"/>
    <w:rsid w:val="007A5D84"/>
    <w:rsid w:val="007A6FFD"/>
    <w:rsid w:val="007A76A0"/>
    <w:rsid w:val="007B23C1"/>
    <w:rsid w:val="007B3106"/>
    <w:rsid w:val="007B40E0"/>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7739"/>
    <w:rsid w:val="007E0151"/>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1FBB"/>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0DAE"/>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3CF"/>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2135"/>
    <w:rsid w:val="00922BE5"/>
    <w:rsid w:val="009230B3"/>
    <w:rsid w:val="00923738"/>
    <w:rsid w:val="00924814"/>
    <w:rsid w:val="009248E5"/>
    <w:rsid w:val="00925B0B"/>
    <w:rsid w:val="00926D40"/>
    <w:rsid w:val="009272BB"/>
    <w:rsid w:val="0092739C"/>
    <w:rsid w:val="0093060D"/>
    <w:rsid w:val="0093115C"/>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62D"/>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686"/>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1E3D"/>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46C6"/>
    <w:rsid w:val="00AD52EC"/>
    <w:rsid w:val="00AD60C2"/>
    <w:rsid w:val="00AD659B"/>
    <w:rsid w:val="00AD7405"/>
    <w:rsid w:val="00AD7954"/>
    <w:rsid w:val="00AE01D3"/>
    <w:rsid w:val="00AE1C64"/>
    <w:rsid w:val="00AE1F88"/>
    <w:rsid w:val="00AE1F91"/>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60CD"/>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17D4"/>
    <w:rsid w:val="00BB2404"/>
    <w:rsid w:val="00BB4008"/>
    <w:rsid w:val="00BB4C2E"/>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8A9"/>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4D69"/>
    <w:rsid w:val="00D754D6"/>
    <w:rsid w:val="00D757F9"/>
    <w:rsid w:val="00D75EB4"/>
    <w:rsid w:val="00D76AEC"/>
    <w:rsid w:val="00D76AED"/>
    <w:rsid w:val="00D76C2C"/>
    <w:rsid w:val="00D76E27"/>
    <w:rsid w:val="00D8084B"/>
    <w:rsid w:val="00D8086B"/>
    <w:rsid w:val="00D80976"/>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4A3"/>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07D6"/>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B7F8C"/>
    <w:rsid w:val="00EC0471"/>
    <w:rsid w:val="00EC0693"/>
    <w:rsid w:val="00EC2275"/>
    <w:rsid w:val="00EC28E6"/>
    <w:rsid w:val="00EC3104"/>
    <w:rsid w:val="00EC315F"/>
    <w:rsid w:val="00EC32D3"/>
    <w:rsid w:val="00EC3753"/>
    <w:rsid w:val="00EC40FD"/>
    <w:rsid w:val="00EC442B"/>
    <w:rsid w:val="00EC6665"/>
    <w:rsid w:val="00EC6E90"/>
    <w:rsid w:val="00EC77FF"/>
    <w:rsid w:val="00EC7DA2"/>
    <w:rsid w:val="00ED03F5"/>
    <w:rsid w:val="00ED21C1"/>
    <w:rsid w:val="00ED2E41"/>
    <w:rsid w:val="00ED369A"/>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F69"/>
    <w:rsid w:val="00F151D5"/>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098"/>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0807"/>
    <w:rsid w:val="00F8129C"/>
    <w:rsid w:val="00F81813"/>
    <w:rsid w:val="00F8315B"/>
    <w:rsid w:val="00F83731"/>
    <w:rsid w:val="00F8441A"/>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42">
      <w:bodyDiv w:val="1"/>
      <w:marLeft w:val="0"/>
      <w:marRight w:val="0"/>
      <w:marTop w:val="0"/>
      <w:marBottom w:val="0"/>
      <w:divBdr>
        <w:top w:val="none" w:sz="0" w:space="0" w:color="auto"/>
        <w:left w:val="none" w:sz="0" w:space="0" w:color="auto"/>
        <w:bottom w:val="none" w:sz="0" w:space="0" w:color="auto"/>
        <w:right w:val="none" w:sz="0" w:space="0" w:color="auto"/>
      </w:divBdr>
    </w:div>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26858691">
      <w:bodyDiv w:val="1"/>
      <w:marLeft w:val="0"/>
      <w:marRight w:val="0"/>
      <w:marTop w:val="0"/>
      <w:marBottom w:val="0"/>
      <w:divBdr>
        <w:top w:val="none" w:sz="0" w:space="0" w:color="auto"/>
        <w:left w:val="none" w:sz="0" w:space="0" w:color="auto"/>
        <w:bottom w:val="none" w:sz="0" w:space="0" w:color="auto"/>
        <w:right w:val="none" w:sz="0" w:space="0" w:color="auto"/>
      </w:divBdr>
    </w:div>
    <w:div w:id="33052862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975572553">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589313885">
      <w:bodyDiv w:val="1"/>
      <w:marLeft w:val="0"/>
      <w:marRight w:val="0"/>
      <w:marTop w:val="0"/>
      <w:marBottom w:val="0"/>
      <w:divBdr>
        <w:top w:val="none" w:sz="0" w:space="0" w:color="auto"/>
        <w:left w:val="none" w:sz="0" w:space="0" w:color="auto"/>
        <w:bottom w:val="none" w:sz="0" w:space="0" w:color="auto"/>
        <w:right w:val="none" w:sz="0" w:space="0" w:color="auto"/>
      </w:divBdr>
    </w:div>
    <w:div w:id="1635523046">
      <w:bodyDiv w:val="1"/>
      <w:marLeft w:val="0"/>
      <w:marRight w:val="0"/>
      <w:marTop w:val="0"/>
      <w:marBottom w:val="0"/>
      <w:divBdr>
        <w:top w:val="none" w:sz="0" w:space="0" w:color="auto"/>
        <w:left w:val="none" w:sz="0" w:space="0" w:color="auto"/>
        <w:bottom w:val="none" w:sz="0" w:space="0" w:color="auto"/>
        <w:right w:val="none" w:sz="0" w:space="0" w:color="auto"/>
      </w:divBdr>
    </w:div>
    <w:div w:id="1793085607">
      <w:bodyDiv w:val="1"/>
      <w:marLeft w:val="0"/>
      <w:marRight w:val="0"/>
      <w:marTop w:val="0"/>
      <w:marBottom w:val="0"/>
      <w:divBdr>
        <w:top w:val="none" w:sz="0" w:space="0" w:color="auto"/>
        <w:left w:val="none" w:sz="0" w:space="0" w:color="auto"/>
        <w:bottom w:val="none" w:sz="0" w:space="0" w:color="auto"/>
        <w:right w:val="none" w:sz="0" w:space="0" w:color="auto"/>
      </w:divBdr>
    </w:div>
    <w:div w:id="1826773218">
      <w:bodyDiv w:val="1"/>
      <w:marLeft w:val="0"/>
      <w:marRight w:val="0"/>
      <w:marTop w:val="0"/>
      <w:marBottom w:val="0"/>
      <w:divBdr>
        <w:top w:val="none" w:sz="0" w:space="0" w:color="auto"/>
        <w:left w:val="none" w:sz="0" w:space="0" w:color="auto"/>
        <w:bottom w:val="none" w:sz="0" w:space="0" w:color="auto"/>
        <w:right w:val="none" w:sz="0" w:space="0" w:color="auto"/>
      </w:divBdr>
    </w:div>
    <w:div w:id="1881236381">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055318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nl/zakelijk/primair-onderwijs/bekostiging-en-subsidies/samenwerkingsverbanden/kijkglazen.j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D976-AA52-46C5-9265-8CF1C651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7404</Words>
  <Characters>40725</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48033</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6</cp:revision>
  <cp:lastPrinted>2019-04-06T12:25:00Z</cp:lastPrinted>
  <dcterms:created xsi:type="dcterms:W3CDTF">2019-04-05T21:08:00Z</dcterms:created>
  <dcterms:modified xsi:type="dcterms:W3CDTF">2019-04-06T12:29:00Z</dcterms:modified>
</cp:coreProperties>
</file>